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Tablelands Pulse</w:t>
            </w:r>
          </w:p>
        </w:tc>
      </w:tr>
      <w:tr>
        <w:tc>
          <w:tcPr>
            <w:tcW w:type="dxa" w:w="3118"/>
            <w:shd w:val="clear" w:color="auto" w:fill="DCE6F1"/>
            <w:vAlign w:val="center"/>
          </w:tcPr>
          <w:p>
            <w:r>
              <w:rPr>
                <w:b/>
                <w:sz w:val="18"/>
              </w:rPr>
              <w:t>RE Number</w:t>
            </w:r>
          </w:p>
        </w:tc>
        <w:tc>
          <w:tcPr>
            <w:tcW w:type="dxa" w:w="6236"/>
            <w:vAlign w:val="center"/>
          </w:tcPr>
          <w:p>
            <w:r>
              <w:rPr>
                <w:sz w:val="18"/>
              </w:rPr>
              <w:t>RE-NSW-2022-0055</w:t>
            </w:r>
          </w:p>
        </w:tc>
      </w:tr>
      <w:tr>
        <w:tc>
          <w:tcPr>
            <w:tcW w:type="dxa" w:w="3118"/>
            <w:shd w:val="clear" w:color="auto" w:fill="DCE6F1"/>
            <w:vAlign w:val="center"/>
          </w:tcPr>
          <w:p>
            <w:r>
              <w:rPr>
                <w:b/>
                <w:sz w:val="18"/>
              </w:rPr>
              <w:t>State / Territory</w:t>
            </w:r>
          </w:p>
        </w:tc>
        <w:tc>
          <w:tcPr>
            <w:tcW w:type="dxa" w:w="6236"/>
            <w:vAlign w:val="center"/>
          </w:tcPr>
          <w:p>
            <w:r>
              <w:rPr>
                <w:sz w:val="18"/>
              </w:rPr>
              <w:t>NSW</w:t>
            </w:r>
          </w:p>
        </w:tc>
      </w:tr>
      <w:tr>
        <w:tc>
          <w:tcPr>
            <w:tcW w:type="dxa" w:w="3118"/>
            <w:shd w:val="clear" w:color="auto" w:fill="DCE6F1"/>
            <w:vAlign w:val="center"/>
          </w:tcPr>
          <w:p>
            <w:r>
              <w:rPr>
                <w:b/>
                <w:sz w:val="18"/>
              </w:rPr>
              <w:t>Property Address</w:t>
            </w:r>
          </w:p>
        </w:tc>
        <w:tc>
          <w:tcPr>
            <w:tcW w:type="dxa" w:w="6236"/>
            <w:vAlign w:val="center"/>
          </w:tcPr>
          <w:p>
            <w:r>
              <w:rPr>
                <w:sz w:val="18"/>
              </w:rPr>
              <w:t>19 New England Highway, Inverell NSW 2360</w:t>
            </w:r>
          </w:p>
        </w:tc>
      </w:tr>
      <w:tr>
        <w:tc>
          <w:tcPr>
            <w:tcW w:type="dxa" w:w="3118"/>
            <w:shd w:val="clear" w:color="auto" w:fill="DCE6F1"/>
            <w:vAlign w:val="center"/>
          </w:tcPr>
          <w:p>
            <w:r>
              <w:rPr>
                <w:b/>
                <w:sz w:val="18"/>
              </w:rPr>
              <w:t>Registered Commodity</w:t>
            </w:r>
          </w:p>
        </w:tc>
        <w:tc>
          <w:tcPr>
            <w:tcW w:type="dxa" w:w="6236"/>
            <w:vAlign w:val="center"/>
          </w:tcPr>
          <w:p>
            <w:r>
              <w:rPr>
                <w:sz w:val="18"/>
              </w:rPr>
              <w:t>Almonds</w:t>
            </w:r>
          </w:p>
        </w:tc>
      </w:tr>
      <w:tr>
        <w:tc>
          <w:tcPr>
            <w:tcW w:type="dxa" w:w="3118"/>
            <w:shd w:val="clear" w:color="auto" w:fill="DCE6F1"/>
            <w:vAlign w:val="center"/>
          </w:tcPr>
          <w:p>
            <w:r>
              <w:rPr>
                <w:b/>
                <w:sz w:val="18"/>
              </w:rPr>
              <w:t>Responsible Officer</w:t>
            </w:r>
          </w:p>
        </w:tc>
        <w:tc>
          <w:tcPr>
            <w:tcW w:type="dxa" w:w="6236"/>
            <w:vAlign w:val="center"/>
          </w:tcPr>
          <w:p>
            <w:r>
              <w:rPr>
                <w:sz w:val="18"/>
              </w:rPr>
              <w:t>Elise Maurer</w:t>
            </w:r>
          </w:p>
        </w:tc>
      </w:tr>
      <w:tr>
        <w:tc>
          <w:tcPr>
            <w:tcW w:type="dxa" w:w="3118"/>
            <w:shd w:val="clear" w:color="auto" w:fill="DCE6F1"/>
            <w:vAlign w:val="center"/>
          </w:tcPr>
          <w:p>
            <w:r>
              <w:rPr>
                <w:b/>
                <w:sz w:val="18"/>
              </w:rPr>
              <w:t>Property Area</w:t>
            </w:r>
          </w:p>
        </w:tc>
        <w:tc>
          <w:tcPr>
            <w:tcW w:type="dxa" w:w="6236"/>
            <w:vAlign w:val="center"/>
          </w:tcPr>
          <w:p>
            <w:r>
              <w:rPr>
                <w:sz w:val="18"/>
              </w:rPr>
              <w:t>300.0 ha</w:t>
            </w:r>
          </w:p>
        </w:tc>
      </w:tr>
      <w:tr>
        <w:tc>
          <w:tcPr>
            <w:tcW w:type="dxa" w:w="3118"/>
            <w:shd w:val="clear" w:color="auto" w:fill="DCE6F1"/>
            <w:vAlign w:val="center"/>
          </w:tcPr>
          <w:p>
            <w:r>
              <w:rPr>
                <w:b/>
                <w:sz w:val="18"/>
              </w:rPr>
              <w:t>Year Established</w:t>
            </w:r>
          </w:p>
        </w:tc>
        <w:tc>
          <w:tcPr>
            <w:tcW w:type="dxa" w:w="6236"/>
            <w:vAlign w:val="center"/>
          </w:tcPr>
          <w:p>
            <w:r>
              <w:rPr>
                <w:sz w:val="18"/>
              </w:rPr>
              <w:t>2005</w:t>
            </w:r>
          </w:p>
        </w:tc>
      </w:tr>
      <w:tr>
        <w:tc>
          <w:tcPr>
            <w:tcW w:type="dxa" w:w="3118"/>
            <w:shd w:val="clear" w:color="auto" w:fill="DCE6F1"/>
            <w:vAlign w:val="center"/>
          </w:tcPr>
          <w:p>
            <w:r>
              <w:rPr>
                <w:b/>
                <w:sz w:val="18"/>
              </w:rPr>
              <w:t>Document Version</w:t>
            </w:r>
          </w:p>
        </w:tc>
        <w:tc>
          <w:tcPr>
            <w:tcW w:type="dxa" w:w="6236"/>
            <w:vAlign w:val="center"/>
          </w:tcPr>
          <w:p>
            <w:r>
              <w:rPr>
                <w:sz w:val="18"/>
              </w:rPr>
              <w:t>2.4</w:t>
            </w:r>
          </w:p>
        </w:tc>
      </w:tr>
      <w:tr>
        <w:tc>
          <w:tcPr>
            <w:tcW w:type="dxa" w:w="3118"/>
            <w:shd w:val="clear" w:color="auto" w:fill="DCE6F1"/>
            <w:vAlign w:val="center"/>
          </w:tcPr>
          <w:p>
            <w:r>
              <w:rPr>
                <w:b/>
                <w:sz w:val="18"/>
              </w:rPr>
              <w:t>Plan Date</w:t>
            </w:r>
          </w:p>
        </w:tc>
        <w:tc>
          <w:tcPr>
            <w:tcW w:type="dxa" w:w="6236"/>
            <w:vAlign w:val="center"/>
          </w:tcPr>
          <w:p>
            <w:r>
              <w:rPr>
                <w:sz w:val="18"/>
              </w:rPr>
              <w:t>28 March 2024</w:t>
            </w:r>
          </w:p>
        </w:tc>
      </w:tr>
      <w:tr>
        <w:tc>
          <w:tcPr>
            <w:tcW w:type="dxa" w:w="3118"/>
            <w:shd w:val="clear" w:color="auto" w:fill="DCE6F1"/>
            <w:vAlign w:val="center"/>
          </w:tcPr>
          <w:p>
            <w:r>
              <w:rPr>
                <w:b/>
                <w:sz w:val="18"/>
              </w:rPr>
              <w:t>Next Review</w:t>
            </w:r>
          </w:p>
        </w:tc>
        <w:tc>
          <w:tcPr>
            <w:tcW w:type="dxa" w:w="6236"/>
            <w:vAlign w:val="center"/>
          </w:tcPr>
          <w:p>
            <w:r>
              <w:rPr>
                <w:sz w:val="18"/>
              </w:rPr>
              <w:t>28 March 2026</w:t>
            </w:r>
          </w:p>
        </w:tc>
      </w:tr>
    </w:tbl>
    <w:p/>
    <w:p>
      <w:pPr>
        <w:pStyle w:val="Heading1"/>
      </w:pPr>
      <w:r>
        <w:rPr>
          <w:color w:val="1F497D"/>
        </w:rPr>
        <w:t>1.  OVERVIEW</w:t>
      </w:r>
    </w:p>
    <w:p>
      <w:r>
        <w:rPr>
          <w:b w:val="0"/>
          <w:i w:val="0"/>
          <w:sz w:val="20"/>
        </w:rPr>
        <w:t>Tablelands Pulse is a registered export establishment located at 19 New England Highway, Inverell NSW 2360, NSW. The establishment holds RE Number RE-NSW-2022-0055 and is registered to handle and export Almonds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Nut Processing Hall</w:t>
            </w:r>
          </w:p>
        </w:tc>
        <w:tc>
          <w:tcPr>
            <w:tcW w:type="dxa" w:w="1587"/>
            <w:shd w:val="clear" w:color="auto" w:fill="FFFFFF"/>
            <w:vAlign w:val="center"/>
          </w:tcPr>
          <w:p>
            <w:r>
              <w:rPr>
                <w:sz w:val="18"/>
              </w:rPr>
              <w:t>32×20 m</w:t>
            </w:r>
          </w:p>
        </w:tc>
        <w:tc>
          <w:tcPr>
            <w:tcW w:type="dxa" w:w="1984"/>
            <w:shd w:val="clear" w:color="auto" w:fill="FFFFFF"/>
            <w:vAlign w:val="center"/>
          </w:tcPr>
          <w:p>
            <w:r>
              <w:rPr>
                <w:sz w:val="18"/>
              </w:rPr>
              <w:t>Steel portal, smooth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HS</w:t>
            </w:r>
          </w:p>
        </w:tc>
        <w:tc>
          <w:tcPr>
            <w:tcW w:type="dxa" w:w="3118"/>
            <w:shd w:val="clear" w:color="auto" w:fill="F2F2F2"/>
            <w:vAlign w:val="center"/>
          </w:tcPr>
          <w:p>
            <w:r>
              <w:rPr>
                <w:sz w:val="18"/>
              </w:rPr>
              <w:t>Hulling/Shelling Shed</w:t>
            </w:r>
          </w:p>
        </w:tc>
        <w:tc>
          <w:tcPr>
            <w:tcW w:type="dxa" w:w="1587"/>
            <w:shd w:val="clear" w:color="auto" w:fill="F2F2F2"/>
            <w:vAlign w:val="center"/>
          </w:tcPr>
          <w:p>
            <w:r>
              <w:rPr>
                <w:sz w:val="18"/>
              </w:rPr>
              <w:t>28×18 m</w:t>
            </w:r>
          </w:p>
        </w:tc>
        <w:tc>
          <w:tcPr>
            <w:tcW w:type="dxa" w:w="1984"/>
            <w:shd w:val="clear" w:color="auto" w:fill="F2F2F2"/>
            <w:vAlign w:val="center"/>
          </w:tcPr>
          <w:p>
            <w:r>
              <w:rPr>
                <w:sz w:val="18"/>
              </w:rPr>
              <w:t>Steel, concrete floor</w:t>
            </w:r>
          </w:p>
        </w:tc>
        <w:tc>
          <w:tcPr>
            <w:tcW w:type="dxa" w:w="2381"/>
            <w:shd w:val="clear" w:color="auto" w:fill="F2F2F2"/>
            <w:vAlign w:val="center"/>
          </w:tcPr>
          <w:p>
            <w:r>
              <w:rPr>
                <w:sz w:val="18"/>
              </w:rPr>
              <w:t>North of PH</w:t>
            </w:r>
          </w:p>
        </w:tc>
      </w:tr>
      <w:tr>
        <w:tc>
          <w:tcPr>
            <w:tcW w:type="dxa" w:w="850"/>
            <w:shd w:val="clear" w:color="auto" w:fill="FFFFFF"/>
            <w:vAlign w:val="center"/>
          </w:tcPr>
          <w:p>
            <w:r>
              <w:rPr>
                <w:sz w:val="18"/>
              </w:rPr>
              <w:t>CS</w:t>
            </w:r>
          </w:p>
        </w:tc>
        <w:tc>
          <w:tcPr>
            <w:tcW w:type="dxa" w:w="3118"/>
            <w:shd w:val="clear" w:color="auto" w:fill="FFFFFF"/>
            <w:vAlign w:val="center"/>
          </w:tcPr>
          <w:p>
            <w:r>
              <w:rPr>
                <w:sz w:val="18"/>
              </w:rPr>
              <w:t>Cold Store</w:t>
            </w:r>
          </w:p>
        </w:tc>
        <w:tc>
          <w:tcPr>
            <w:tcW w:type="dxa" w:w="1587"/>
            <w:shd w:val="clear" w:color="auto" w:fill="FFFFFF"/>
            <w:vAlign w:val="center"/>
          </w:tcPr>
          <w:p>
            <w:r>
              <w:rPr>
                <w:sz w:val="18"/>
              </w:rPr>
              <w:t>14×12 m</w:t>
            </w:r>
          </w:p>
        </w:tc>
        <w:tc>
          <w:tcPr>
            <w:tcW w:type="dxa" w:w="1984"/>
            <w:shd w:val="clear" w:color="auto" w:fill="FFFFFF"/>
            <w:vAlign w:val="center"/>
          </w:tcPr>
          <w:p>
            <w:r>
              <w:rPr>
                <w:sz w:val="18"/>
              </w:rPr>
              <w:t>Insulated panel, ammonia refrigeration</w:t>
            </w:r>
          </w:p>
        </w:tc>
        <w:tc>
          <w:tcPr>
            <w:tcW w:type="dxa" w:w="2381"/>
            <w:shd w:val="clear" w:color="auto" w:fill="FFFFFF"/>
            <w:vAlign w:val="center"/>
          </w:tcPr>
          <w:p>
            <w:r>
              <w:rPr>
                <w:sz w:val="18"/>
              </w:rPr>
              <w:t>East of PH</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5×3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SE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5×4 m</w:t>
            </w:r>
          </w:p>
        </w:tc>
        <w:tc>
          <w:tcPr>
            <w:tcW w:type="dxa" w:w="1984"/>
            <w:shd w:val="clear" w:color="auto" w:fill="F2F2F2"/>
            <w:vAlign w:val="center"/>
          </w:tcPr>
          <w:p>
            <w:r>
              <w:rPr>
                <w:sz w:val="18"/>
              </w:rPr>
              <w:t>Enclosed room in PH</w:t>
            </w:r>
          </w:p>
        </w:tc>
        <w:tc>
          <w:tcPr>
            <w:tcW w:type="dxa" w:w="2381"/>
            <w:shd w:val="clear" w:color="auto" w:fill="F2F2F2"/>
            <w:vAlign w:val="center"/>
          </w:tcPr>
          <w:p>
            <w:r>
              <w:rPr>
                <w:sz w:val="18"/>
              </w:rPr>
              <w:t>PH east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Hulling and shelling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Primary processing</w:t>
            </w:r>
          </w:p>
        </w:tc>
      </w:tr>
      <w:tr>
        <w:tc>
          <w:tcPr>
            <w:tcW w:type="dxa" w:w="3685"/>
            <w:shd w:val="clear" w:color="auto" w:fill="F2F2F2"/>
            <w:vAlign w:val="center"/>
          </w:tcPr>
          <w:p>
            <w:r>
              <w:rPr>
                <w:sz w:val="18"/>
              </w:rPr>
              <w:t>Optical colour sorter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Quality grading</w:t>
            </w:r>
          </w:p>
        </w:tc>
      </w:tr>
      <w:tr>
        <w:tc>
          <w:tcPr>
            <w:tcW w:type="dxa" w:w="3685"/>
            <w:shd w:val="clear" w:color="auto" w:fill="FFFFFF"/>
            <w:vAlign w:val="center"/>
          </w:tcPr>
          <w:p>
            <w:r>
              <w:rPr>
                <w:sz w:val="18"/>
              </w:rPr>
              <w:t>Semi-automatic pack line</w:t>
            </w:r>
          </w:p>
        </w:tc>
        <w:tc>
          <w:tcPr>
            <w:tcW w:type="dxa" w:w="1984"/>
            <w:shd w:val="clear" w:color="auto" w:fill="FFFFFF"/>
            <w:vAlign w:val="center"/>
          </w:tcPr>
          <w:p>
            <w:r>
              <w:rPr>
                <w:sz w:val="18"/>
              </w:rPr>
              <w:t>2 lanes</w:t>
            </w:r>
          </w:p>
        </w:tc>
        <w:tc>
          <w:tcPr>
            <w:tcW w:type="dxa" w:w="4252"/>
            <w:shd w:val="clear" w:color="auto" w:fill="FFFFFF"/>
            <w:vAlign w:val="center"/>
          </w:tcPr>
          <w:p>
            <w:r>
              <w:rPr>
                <w:sz w:val="18"/>
              </w:rPr>
              <w:t>Consumer and bulk packing</w:t>
            </w:r>
          </w:p>
        </w:tc>
      </w:tr>
      <w:tr>
        <w:tc>
          <w:tcPr>
            <w:tcW w:type="dxa" w:w="3685"/>
            <w:shd w:val="clear" w:color="auto" w:fill="F2F2F2"/>
            <w:vAlign w:val="center"/>
          </w:tcPr>
          <w:p>
            <w:r>
              <w:rPr>
                <w:sz w:val="18"/>
              </w:rPr>
              <w:t>Metal detector</w:t>
            </w:r>
          </w:p>
        </w:tc>
        <w:tc>
          <w:tcPr>
            <w:tcW w:type="dxa" w:w="1984"/>
            <w:shd w:val="clear" w:color="auto" w:fill="F2F2F2"/>
            <w:vAlign w:val="center"/>
          </w:tcPr>
          <w:p>
            <w:r>
              <w:rPr>
                <w:sz w:val="18"/>
              </w:rPr>
              <w:t>CCP inline</w:t>
            </w:r>
          </w:p>
        </w:tc>
        <w:tc>
          <w:tcPr>
            <w:tcW w:type="dxa" w:w="4252"/>
            <w:shd w:val="clear" w:color="auto" w:fill="F2F2F2"/>
            <w:vAlign w:val="center"/>
          </w:tcPr>
          <w:p>
            <w:r>
              <w:rPr>
                <w:sz w:val="18"/>
              </w:rPr>
              <w:t>Export food safety</w:t>
            </w:r>
          </w:p>
        </w:tc>
      </w:tr>
      <w:tr>
        <w:tc>
          <w:tcPr>
            <w:tcW w:type="dxa" w:w="3685"/>
            <w:shd w:val="clear" w:color="auto" w:fill="FFFFFF"/>
            <w:vAlign w:val="center"/>
          </w:tcPr>
          <w:p>
            <w:r>
              <w:rPr>
                <w:sz w:val="18"/>
              </w:rPr>
              <w:t>Moisture/aflatoxin analyser</w:t>
            </w:r>
          </w:p>
        </w:tc>
        <w:tc>
          <w:tcPr>
            <w:tcW w:type="dxa" w:w="1984"/>
            <w:shd w:val="clear" w:color="auto" w:fill="FFFFFF"/>
            <w:vAlign w:val="center"/>
          </w:tcPr>
          <w:p>
            <w:r>
              <w:rPr>
                <w:sz w:val="18"/>
              </w:rPr>
              <w:t>In-line</w:t>
            </w:r>
          </w:p>
        </w:tc>
        <w:tc>
          <w:tcPr>
            <w:tcW w:type="dxa" w:w="4252"/>
            <w:shd w:val="clear" w:color="auto" w:fill="FFFFFF"/>
            <w:vAlign w:val="center"/>
          </w:tcPr>
          <w:p>
            <w:r>
              <w:rPr>
                <w:sz w:val="18"/>
              </w:rPr>
              <w:t>Quality and safety testing</w:t>
            </w:r>
          </w:p>
        </w:tc>
      </w:tr>
      <w:tr>
        <w:tc>
          <w:tcPr>
            <w:tcW w:type="dxa" w:w="3685"/>
            <w:shd w:val="clear" w:color="auto" w:fill="F2F2F2"/>
            <w:vAlign w:val="center"/>
          </w:tcPr>
          <w:p>
            <w:r>
              <w:rPr>
                <w:sz w:val="18"/>
              </w:rPr>
              <w:t>Pallet stretch wrapper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palletising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Almonds.</w:t>
      </w:r>
    </w:p>
    <w:p>
      <w:pPr>
        <w:pStyle w:val="Heading2"/>
      </w:pPr>
      <w:r>
        <w:t>4.2  Lighting (C2)</w:t>
      </w:r>
    </w:p>
    <w:p>
      <w:r>
        <w:rPr>
          <w:b w:val="0"/>
          <w:i w:val="0"/>
          <w:sz w:val="20"/>
        </w:rPr>
        <w:t>LED panel lighting installed 2008: 500 lux (processing), 400 lux (storage), 380 lux (load-out). IP65-rated food-grade fittings. Annual lux-level verification by licensed electrician.</w:t>
      </w:r>
    </w:p>
    <w:p>
      <w:pPr>
        <w:pStyle w:val="Heading2"/>
      </w:pPr>
      <w:r>
        <w:t>4.3  Handwashing and Toilet Facilities (C3)</w:t>
      </w:r>
    </w:p>
    <w:p>
      <w:r>
        <w:rPr>
          <w:b w:val="0"/>
          <w:i w:val="0"/>
          <w:sz w:val="20"/>
        </w:rPr>
        <w:t>Amenities block within 20 m of processing floor: 1 toilet, 1 hand basin hot/cold water, liquid soap, paper towels. Separate no-touch basin and hand sanitiser dispenser installed at cool store/packing area access point, as required by site hygiene protocol.</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The receival and processing building is an original structure built circa 2000. Internal walls are rough-finished brick with lime render — surface is porous, absorbing product oils and moisture. The lime render is not compatible with pressure washing (delamination risk). Timber floor boards in the original section have gaps between boards retaining grain. Modern additions (post-2010) have smooth surfaces and are cleanable.</w:t>
      </w:r>
    </w:p>
    <w:p>
      <w:pPr>
        <w:pStyle w:val="Heading2"/>
      </w:pPr>
      <w:r>
        <w:t>5.2  Contamination and Pest Harbourage Minimisation (C5)</w:t>
      </w:r>
    </w:p>
    <w:p>
      <w:r>
        <w:rPr>
          <w:b w:val="0"/>
          <w:i w:val="0"/>
          <w:sz w:val="20"/>
        </w:rPr>
        <w:t>Design features minimising pest entry: smooth wall surfaces; all roof-wall junctions factory-sealed; cable/pipe penetrations sealed with food-grade silicone; 6 mm mesh on all fixed ventilation louvres; self-closing personnel doors with magnetic seals; roller doors serviced annually to maintain threshold seal integrity; no open drainage channels.</w:t>
      </w:r>
    </w:p>
    <w:p>
      <w:pPr>
        <w:pStyle w:val="Heading2"/>
      </w:pPr>
      <w:r>
        <w:t>5.3  Waste Disposal Design (C6)</w:t>
      </w:r>
    </w:p>
    <w:p>
      <w:r>
        <w:rPr>
          <w:b w:val="0"/>
          <w:i w:val="0"/>
          <w:sz w:val="20"/>
        </w:rPr>
        <w:t>Contained waste management infrastructure: liquid drains to bunded sump (2000 L) outside the processing building; solid waste in sealed wheeled bins with lids; external waste bay roofed and bunded on three sides with 300 mm concrete kerb and sealed slab. Organic waste composted in covered bay 30 m from processing. No open waste storage areas.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Establishment Waste Management Plan (EWMP v3.0, reviewed April 2025): details procedures for all waste streams — product spillage, packaging, liquid washdown, chemical containers and dust. Scheduled tasks on daily operations checklist, signed off by shift supervisor. Records retained 3 years minimum.</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Hull and shell waste</w:t>
            </w:r>
          </w:p>
        </w:tc>
        <w:tc>
          <w:tcPr>
            <w:tcW w:type="dxa" w:w="4252"/>
            <w:shd w:val="clear" w:color="auto" w:fill="FFFFFF"/>
            <w:vAlign w:val="center"/>
          </w:tcPr>
          <w:p>
            <w:r>
              <w:rPr>
                <w:sz w:val="18"/>
              </w:rPr>
              <w:t>Collection pit under processor → covered external stockpile</w:t>
            </w:r>
          </w:p>
        </w:tc>
        <w:tc>
          <w:tcPr>
            <w:tcW w:type="dxa" w:w="2835"/>
            <w:shd w:val="clear" w:color="auto" w:fill="FFFFFF"/>
            <w:vAlign w:val="center"/>
          </w:tcPr>
          <w:p>
            <w:r>
              <w:rPr>
                <w:sz w:val="18"/>
              </w:rPr>
              <w:t>Daily bobcat removal</w:t>
            </w:r>
          </w:p>
        </w:tc>
      </w:tr>
      <w:tr>
        <w:tc>
          <w:tcPr>
            <w:tcW w:type="dxa" w:w="2835"/>
            <w:shd w:val="clear" w:color="auto" w:fill="F2F2F2"/>
            <w:vAlign w:val="center"/>
          </w:tcPr>
          <w:p>
            <w:r>
              <w:rPr>
                <w:sz w:val="18"/>
              </w:rPr>
              <w:t>Nut dust and fines</w:t>
            </w:r>
          </w:p>
        </w:tc>
        <w:tc>
          <w:tcPr>
            <w:tcW w:type="dxa" w:w="4252"/>
            <w:shd w:val="clear" w:color="auto" w:fill="F2F2F2"/>
            <w:vAlign w:val="center"/>
          </w:tcPr>
          <w:p>
            <w:r>
              <w:rPr>
                <w:sz w:val="18"/>
              </w:rPr>
              <w:t>Bag filter on processing line</w:t>
            </w:r>
          </w:p>
        </w:tc>
        <w:tc>
          <w:tcPr>
            <w:tcW w:type="dxa" w:w="2835"/>
            <w:shd w:val="clear" w:color="auto" w:fill="F2F2F2"/>
            <w:vAlign w:val="center"/>
          </w:tcPr>
          <w:p>
            <w:r>
              <w:rPr>
                <w:sz w:val="18"/>
              </w:rPr>
              <w:t>Weekly bag change</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Baler/compactor</w:t>
            </w:r>
          </w:p>
        </w:tc>
        <w:tc>
          <w:tcPr>
            <w:tcW w:type="dxa" w:w="2835"/>
            <w:shd w:val="clear" w:color="auto" w:fill="F2F2F2"/>
            <w:vAlign w:val="center"/>
          </w:tcPr>
          <w:p>
            <w:r>
              <w:rPr>
                <w:sz w:val="18"/>
              </w:rPr>
              <w:t>Fortnightly collection</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The establishment is maintained in a clean and hygienic condition appropriate for export of Almonds. All product-contact surfaces are cleaned between commodity lots using the documented cleaning procedure. Non-product-contact surfaces cleaned on a 8-weekly schedule. No hygiene deficiencies at most recent inspection.</w:t>
      </w:r>
    </w:p>
    <w:p>
      <w:pPr>
        <w:pStyle w:val="Heading2"/>
      </w:pPr>
      <w:r>
        <w:t>7.2  Pest Condition (C9)</w:t>
      </w:r>
    </w:p>
    <w:p>
      <w:r>
        <w:rPr>
          <w:b w:val="0"/>
          <w:i w:val="0"/>
          <w:sz w:val="20"/>
        </w:rPr>
        <w:t>Pest condition assessment: Rodents: nil evidence in 6 months of monitoring. Grain insects: probe samples from all storage negative for live insects. Birds: no evidence of access to grain-contact areas. Last licensed fumigation: November 2024.</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NSW Power Networks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AUTHORINSWTION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Elise Maurer</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28 March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