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Narromine Grain Storage</w:t>
            </w:r>
          </w:p>
        </w:tc>
      </w:tr>
      <w:tr>
        <w:tc>
          <w:tcPr>
            <w:tcW w:type="dxa" w:w="3118"/>
            <w:shd w:val="clear" w:color="auto" w:fill="DCE6F1"/>
            <w:vAlign w:val="center"/>
          </w:tcPr>
          <w:p>
            <w:r>
              <w:rPr>
                <w:b/>
                <w:sz w:val="18"/>
              </w:rPr>
              <w:t>RE Number</w:t>
            </w:r>
          </w:p>
        </w:tc>
        <w:tc>
          <w:tcPr>
            <w:tcW w:type="dxa" w:w="6236"/>
            <w:vAlign w:val="center"/>
          </w:tcPr>
          <w:p>
            <w:r>
              <w:rPr>
                <w:sz w:val="18"/>
              </w:rPr>
              <w:t>RE-NSW-2022-0130</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67 Newell Highway, Narromine NSW 2821</w:t>
            </w:r>
          </w:p>
        </w:tc>
      </w:tr>
      <w:tr>
        <w:tc>
          <w:tcPr>
            <w:tcW w:type="dxa" w:w="3118"/>
            <w:shd w:val="clear" w:color="auto" w:fill="DCE6F1"/>
            <w:vAlign w:val="center"/>
          </w:tcPr>
          <w:p>
            <w:r>
              <w:rPr>
                <w:b/>
                <w:sz w:val="18"/>
              </w:rPr>
              <w:t>Registered Commodity</w:t>
            </w:r>
          </w:p>
        </w:tc>
        <w:tc>
          <w:tcPr>
            <w:tcW w:type="dxa" w:w="6236"/>
            <w:vAlign w:val="center"/>
          </w:tcPr>
          <w:p>
            <w:r>
              <w:rPr>
                <w:sz w:val="18"/>
              </w:rPr>
              <w:t>Wheat</w:t>
            </w:r>
          </w:p>
        </w:tc>
      </w:tr>
      <w:tr>
        <w:tc>
          <w:tcPr>
            <w:tcW w:type="dxa" w:w="3118"/>
            <w:shd w:val="clear" w:color="auto" w:fill="DCE6F1"/>
            <w:vAlign w:val="center"/>
          </w:tcPr>
          <w:p>
            <w:r>
              <w:rPr>
                <w:b/>
                <w:sz w:val="18"/>
              </w:rPr>
              <w:t>Responsible Officer</w:t>
            </w:r>
          </w:p>
        </w:tc>
        <w:tc>
          <w:tcPr>
            <w:tcW w:type="dxa" w:w="6236"/>
            <w:vAlign w:val="center"/>
          </w:tcPr>
          <w:p>
            <w:r>
              <w:rPr>
                <w:sz w:val="18"/>
              </w:rPr>
              <w:t>Peter Galloway</w:t>
            </w:r>
          </w:p>
        </w:tc>
      </w:tr>
      <w:tr>
        <w:tc>
          <w:tcPr>
            <w:tcW w:type="dxa" w:w="3118"/>
            <w:shd w:val="clear" w:color="auto" w:fill="DCE6F1"/>
            <w:vAlign w:val="center"/>
          </w:tcPr>
          <w:p>
            <w:r>
              <w:rPr>
                <w:b/>
                <w:sz w:val="18"/>
              </w:rPr>
              <w:t>Property Area</w:t>
            </w:r>
          </w:p>
        </w:tc>
        <w:tc>
          <w:tcPr>
            <w:tcW w:type="dxa" w:w="6236"/>
            <w:vAlign w:val="center"/>
          </w:tcPr>
          <w:p>
            <w:r>
              <w:rPr>
                <w:sz w:val="18"/>
              </w:rPr>
              <w:t>2100.0 ha</w:t>
            </w:r>
          </w:p>
        </w:tc>
      </w:tr>
      <w:tr>
        <w:tc>
          <w:tcPr>
            <w:tcW w:type="dxa" w:w="3118"/>
            <w:shd w:val="clear" w:color="auto" w:fill="DCE6F1"/>
            <w:vAlign w:val="center"/>
          </w:tcPr>
          <w:p>
            <w:r>
              <w:rPr>
                <w:b/>
                <w:sz w:val="18"/>
              </w:rPr>
              <w:t>Year Established</w:t>
            </w:r>
          </w:p>
        </w:tc>
        <w:tc>
          <w:tcPr>
            <w:tcW w:type="dxa" w:w="6236"/>
            <w:vAlign w:val="center"/>
          </w:tcPr>
          <w:p>
            <w:r>
              <w:rPr>
                <w:sz w:val="18"/>
              </w:rPr>
              <w:t>2015</w:t>
            </w:r>
          </w:p>
        </w:tc>
      </w:tr>
      <w:tr>
        <w:tc>
          <w:tcPr>
            <w:tcW w:type="dxa" w:w="3118"/>
            <w:shd w:val="clear" w:color="auto" w:fill="DCE6F1"/>
            <w:vAlign w:val="center"/>
          </w:tcPr>
          <w:p>
            <w:r>
              <w:rPr>
                <w:b/>
                <w:sz w:val="18"/>
              </w:rPr>
              <w:t>Document Version</w:t>
            </w:r>
          </w:p>
        </w:tc>
        <w:tc>
          <w:tcPr>
            <w:tcW w:type="dxa" w:w="6236"/>
            <w:vAlign w:val="center"/>
          </w:tcPr>
          <w:p>
            <w:r>
              <w:rPr>
                <w:sz w:val="18"/>
              </w:rPr>
              <w:t>2.1</w:t>
            </w:r>
          </w:p>
        </w:tc>
      </w:tr>
      <w:tr>
        <w:tc>
          <w:tcPr>
            <w:tcW w:type="dxa" w:w="3118"/>
            <w:shd w:val="clear" w:color="auto" w:fill="DCE6F1"/>
            <w:vAlign w:val="center"/>
          </w:tcPr>
          <w:p>
            <w:r>
              <w:rPr>
                <w:b/>
                <w:sz w:val="18"/>
              </w:rPr>
              <w:t>Plan Date</w:t>
            </w:r>
          </w:p>
        </w:tc>
        <w:tc>
          <w:tcPr>
            <w:tcW w:type="dxa" w:w="6236"/>
            <w:vAlign w:val="center"/>
          </w:tcPr>
          <w:p>
            <w:r>
              <w:rPr>
                <w:sz w:val="18"/>
              </w:rPr>
              <w:t>14 March 2024</w:t>
            </w:r>
          </w:p>
        </w:tc>
      </w:tr>
      <w:tr>
        <w:tc>
          <w:tcPr>
            <w:tcW w:type="dxa" w:w="3118"/>
            <w:shd w:val="clear" w:color="auto" w:fill="DCE6F1"/>
            <w:vAlign w:val="center"/>
          </w:tcPr>
          <w:p>
            <w:r>
              <w:rPr>
                <w:b/>
                <w:sz w:val="18"/>
              </w:rPr>
              <w:t>Next Review</w:t>
            </w:r>
          </w:p>
        </w:tc>
        <w:tc>
          <w:tcPr>
            <w:tcW w:type="dxa" w:w="6236"/>
            <w:vAlign w:val="center"/>
          </w:tcPr>
          <w:p>
            <w:r>
              <w:rPr>
                <w:sz w:val="18"/>
              </w:rPr>
              <w:t>14 March 2026</w:t>
            </w:r>
          </w:p>
        </w:tc>
      </w:tr>
    </w:tbl>
    <w:p/>
    <w:p>
      <w:pPr>
        <w:pStyle w:val="Heading1"/>
      </w:pPr>
      <w:r>
        <w:rPr>
          <w:color w:val="1F497D"/>
        </w:rPr>
        <w:t>1.  OVERVIEW</w:t>
      </w:r>
    </w:p>
    <w:p>
      <w:r>
        <w:rPr>
          <w:b w:val="0"/>
          <w:i w:val="0"/>
          <w:sz w:val="20"/>
        </w:rPr>
        <w:t>Narromine Grain Storage is a registered export establishment located at 67 Newell Highway, Narromine NSW 2821, NSW. The establishment holds RE Number RE-NSW-2022-0130 and is registered to handle and export Wheat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30×18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S1–S6</w:t>
            </w:r>
          </w:p>
        </w:tc>
        <w:tc>
          <w:tcPr>
            <w:tcW w:type="dxa" w:w="3118"/>
            <w:shd w:val="clear" w:color="auto" w:fill="FFFFFF"/>
            <w:vAlign w:val="center"/>
          </w:tcPr>
          <w:p>
            <w:r>
              <w:rPr>
                <w:sz w:val="18"/>
              </w:rPr>
              <w:t>Storage Silos ×6 (2,500 t ea)</w:t>
            </w:r>
          </w:p>
        </w:tc>
        <w:tc>
          <w:tcPr>
            <w:tcW w:type="dxa" w:w="1587"/>
            <w:shd w:val="clear" w:color="auto" w:fill="FFFFFF"/>
            <w:vAlign w:val="center"/>
          </w:tcPr>
          <w:p>
            <w:r>
              <w:rPr>
                <w:sz w:val="18"/>
              </w:rPr>
              <w:t>Dia. 12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×6</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×3</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Wheat.</w:t>
      </w:r>
    </w:p>
    <w:p>
      <w:pPr>
        <w:pStyle w:val="Heading2"/>
      </w:pPr>
      <w:r>
        <w:t>4.2  Lighting (C2)</w:t>
      </w:r>
    </w:p>
    <w:p>
      <w:r>
        <w:rPr>
          <w:b w:val="0"/>
          <w:i w:val="0"/>
          <w:sz w:val="20"/>
        </w:rPr>
        <w:t>LED panel lighting installed 2018: 550 lux (processing), 440 lux (storage), 418 lux (load-out). IP65-rated food-grade fittings. Annual lux-level verification by licensed electrician.</w:t>
      </w:r>
    </w:p>
    <w:p>
      <w:pPr>
        <w:pStyle w:val="Heading2"/>
      </w:pPr>
      <w:r>
        <w:t>4.3  Handwashing and Toilet Facilities (C3)</w:t>
      </w:r>
    </w:p>
    <w:p>
      <w:r>
        <w:rPr>
          <w:b w:val="0"/>
          <w:i w:val="0"/>
          <w:sz w:val="20"/>
        </w:rPr>
        <w:t>Toilet facilities are provided by a chemical toilet at the site entry gate, approximately 115 m from the packing shed. A single hand basin with cold water is plumbed adjacent to the toilet cabinet. No handwashing facilities are provided within or directly adjacent to the processing area.</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All product-contact and grain-contact surfaces are smooth, non-porous and cleanable: 3-coat epoxy floor system; FRP (fibreglass-reinforced panel) wall linings to 2.7 m; stainless-steel equipment internals. Conveyor and auger housings have hinged access panels. Full washdown of product-contact surfaces required between commodity lots per cleaning SOP.</w:t>
      </w:r>
    </w:p>
    <w:p>
      <w:pPr>
        <w:pStyle w:val="Heading2"/>
      </w:pPr>
      <w:r>
        <w:t>5.2  Contamination and Pest Harbourage Minimisation (C5)</w:t>
      </w:r>
    </w:p>
    <w:p>
      <w:r>
        <w:rPr>
          <w:b w:val="0"/>
          <w:i w:val="0"/>
          <w:sz w:val="20"/>
        </w:rPr>
        <w:t>Design features minimising pest entry: smooth wall surfaces; all roof-wall junctions factory-sealed; cable/pipe penetrations sealed with food-grade silicone; 6 mm mesh on all fixed ventilation louvres; self-closing personnel doors with magnetic seals; roller doors serviced annually to maintain threshold seal integrity; no open drainage channels.</w:t>
      </w:r>
    </w:p>
    <w:p>
      <w:pPr>
        <w:pStyle w:val="Heading2"/>
      </w:pPr>
      <w:r>
        <w:t>5.3  Waste Disposal Design (C6)</w:t>
      </w:r>
    </w:p>
    <w:p>
      <w:r>
        <w:rPr>
          <w:b w:val="0"/>
          <w:i w:val="0"/>
          <w:sz w:val="20"/>
        </w:rPr>
        <w:t>Contained waste management infrastructure: liquid drains to bunded sump (4000 L) outside the processing building; solid waste in sealed wheeled bins with lids; external waste bay roofed and bunded on three sides with 300 mm concrete kerb and sealed slab. Organic waste composted in covered bay 50 m from processing. No open waste storage areas.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Establishment Waste Management Plan (EWMP v3.0, reviewed October 2025): details procedures for all waste streams — product spillage, packaging, liquid washdown, chemical containers and dust. Scheduled tasks on daily operations checklist, signed off by shift supervisor. Records retained 3 years minimum.</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The establishment is maintained in a clean and hygienic condition appropriate for export of Wheat. All product-contact surfaces are cleaned between commodity lots using the documented cleaning procedure. Non-product-contact surfaces cleaned on a 4-weekly schedule. No hygiene deficiencies at most recent inspection.</w:t>
      </w:r>
    </w:p>
    <w:p>
      <w:pPr>
        <w:pStyle w:val="Heading2"/>
      </w:pPr>
      <w:r>
        <w:t>7.2  Pest Condition (C9)</w:t>
      </w:r>
    </w:p>
    <w:p>
      <w:r>
        <w:rPr>
          <w:b w:val="0"/>
          <w:i w:val="0"/>
          <w:sz w:val="20"/>
        </w:rPr>
        <w:t>Pest condition assessment: Rodents: nil evidence in 6 months of monitoring. Grain insects: probe samples from all storage negative for live insects. Birds: no evidence of access to grain-contact areas. Last licensed fumigation: December 2024.</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Ausgrid/Endeavour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irrigation licence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Peter Galloway</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14 March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