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Riverina Grain</w:t>
            </w:r>
          </w:p>
        </w:tc>
      </w:tr>
      <w:tr>
        <w:tc>
          <w:tcPr>
            <w:tcW w:type="dxa" w:w="3118"/>
            <w:shd w:val="clear" w:color="auto" w:fill="DCE6F1"/>
            <w:vAlign w:val="center"/>
          </w:tcPr>
          <w:p>
            <w:r>
              <w:rPr>
                <w:b/>
                <w:sz w:val="18"/>
              </w:rPr>
              <w:t>RE Number</w:t>
            </w:r>
          </w:p>
        </w:tc>
        <w:tc>
          <w:tcPr>
            <w:tcW w:type="dxa" w:w="6236"/>
            <w:vAlign w:val="center"/>
          </w:tcPr>
          <w:p>
            <w:r>
              <w:rPr>
                <w:sz w:val="18"/>
              </w:rPr>
              <w:t>RE-NSW-2023-0031</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44 Sturt Highway, Narrandera NSW 2700</w:t>
            </w:r>
          </w:p>
        </w:tc>
      </w:tr>
      <w:tr>
        <w:tc>
          <w:tcPr>
            <w:tcW w:type="dxa" w:w="3118"/>
            <w:shd w:val="clear" w:color="auto" w:fill="DCE6F1"/>
            <w:vAlign w:val="center"/>
          </w:tcPr>
          <w:p>
            <w:r>
              <w:rPr>
                <w:b/>
                <w:sz w:val="18"/>
              </w:rPr>
              <w:t>Registered Commodity</w:t>
            </w:r>
          </w:p>
        </w:tc>
        <w:tc>
          <w:tcPr>
            <w:tcW w:type="dxa" w:w="6236"/>
            <w:vAlign w:val="center"/>
          </w:tcPr>
          <w:p>
            <w:r>
              <w:rPr>
                <w:sz w:val="18"/>
              </w:rPr>
              <w:t>Pears</w:t>
            </w:r>
          </w:p>
        </w:tc>
      </w:tr>
      <w:tr>
        <w:tc>
          <w:tcPr>
            <w:tcW w:type="dxa" w:w="3118"/>
            <w:shd w:val="clear" w:color="auto" w:fill="DCE6F1"/>
            <w:vAlign w:val="center"/>
          </w:tcPr>
          <w:p>
            <w:r>
              <w:rPr>
                <w:b/>
                <w:sz w:val="18"/>
              </w:rPr>
              <w:t>Responsible Officer</w:t>
            </w:r>
          </w:p>
        </w:tc>
        <w:tc>
          <w:tcPr>
            <w:tcW w:type="dxa" w:w="6236"/>
            <w:vAlign w:val="center"/>
          </w:tcPr>
          <w:p>
            <w:r>
              <w:rPr>
                <w:sz w:val="18"/>
              </w:rPr>
              <w:t>Ross Fenwick</w:t>
            </w:r>
          </w:p>
        </w:tc>
      </w:tr>
      <w:tr>
        <w:tc>
          <w:tcPr>
            <w:tcW w:type="dxa" w:w="3118"/>
            <w:shd w:val="clear" w:color="auto" w:fill="DCE6F1"/>
            <w:vAlign w:val="center"/>
          </w:tcPr>
          <w:p>
            <w:r>
              <w:rPr>
                <w:b/>
                <w:sz w:val="18"/>
              </w:rPr>
              <w:t>Property Area</w:t>
            </w:r>
          </w:p>
        </w:tc>
        <w:tc>
          <w:tcPr>
            <w:tcW w:type="dxa" w:w="6236"/>
            <w:vAlign w:val="center"/>
          </w:tcPr>
          <w:p>
            <w:r>
              <w:rPr>
                <w:sz w:val="18"/>
              </w:rPr>
              <w:t>780.0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14 January 2024</w:t>
            </w:r>
          </w:p>
        </w:tc>
      </w:tr>
      <w:tr>
        <w:tc>
          <w:tcPr>
            <w:tcW w:type="dxa" w:w="3118"/>
            <w:shd w:val="clear" w:color="auto" w:fill="DCE6F1"/>
            <w:vAlign w:val="center"/>
          </w:tcPr>
          <w:p>
            <w:r>
              <w:rPr>
                <w:b/>
                <w:sz w:val="18"/>
              </w:rPr>
              <w:t>Next Review</w:t>
            </w:r>
          </w:p>
        </w:tc>
        <w:tc>
          <w:tcPr>
            <w:tcW w:type="dxa" w:w="6236"/>
            <w:vAlign w:val="center"/>
          </w:tcPr>
          <w:p>
            <w:r>
              <w:rPr>
                <w:sz w:val="18"/>
              </w:rPr>
              <w:t>14 January 2026</w:t>
            </w:r>
          </w:p>
        </w:tc>
      </w:tr>
    </w:tbl>
    <w:p/>
    <w:p>
      <w:pPr>
        <w:pStyle w:val="Heading1"/>
      </w:pPr>
      <w:r>
        <w:rPr>
          <w:color w:val="1F497D"/>
        </w:rPr>
        <w:t>1.  OVERVIEW</w:t>
      </w:r>
    </w:p>
    <w:p>
      <w:r>
        <w:rPr>
          <w:b w:val="0"/>
          <w:i w:val="0"/>
          <w:sz w:val="20"/>
        </w:rPr>
        <w:t>Riverina Grain is a registered export establishment located at 44 Sturt Highway, Narrandera NSW 2700, NSW. The establishment holds RE Number RE-NSW-2023-0031 and is registered to handle and export Pears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SERNSWES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Pears.</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2012, resealed 2017);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SERNSWES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Ross Fenwick</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14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