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Northern Rivers Macadamias</w:t>
            </w:r>
          </w:p>
        </w:tc>
      </w:tr>
      <w:tr>
        <w:tc>
          <w:tcPr>
            <w:tcW w:type="dxa" w:w="3118"/>
            <w:shd w:val="clear" w:color="auto" w:fill="DCE6F1"/>
            <w:vAlign w:val="center"/>
          </w:tcPr>
          <w:p>
            <w:r>
              <w:rPr>
                <w:b/>
                <w:sz w:val="18"/>
              </w:rPr>
              <w:t>RE Number</w:t>
            </w:r>
          </w:p>
        </w:tc>
        <w:tc>
          <w:tcPr>
            <w:tcW w:type="dxa" w:w="6236"/>
            <w:vAlign w:val="center"/>
          </w:tcPr>
          <w:p>
            <w:r>
              <w:rPr>
                <w:sz w:val="18"/>
              </w:rPr>
              <w:t>RE-NSW-2023-0066</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45 Pacific Highway, Ballina NSW 2478</w:t>
            </w:r>
          </w:p>
        </w:tc>
      </w:tr>
      <w:tr>
        <w:tc>
          <w:tcPr>
            <w:tcW w:type="dxa" w:w="3118"/>
            <w:shd w:val="clear" w:color="auto" w:fill="DCE6F1"/>
            <w:vAlign w:val="center"/>
          </w:tcPr>
          <w:p>
            <w:r>
              <w:rPr>
                <w:b/>
                <w:sz w:val="18"/>
              </w:rPr>
              <w:t>Registered Commodity</w:t>
            </w:r>
          </w:p>
        </w:tc>
        <w:tc>
          <w:tcPr>
            <w:tcW w:type="dxa" w:w="6236"/>
            <w:vAlign w:val="center"/>
          </w:tcPr>
          <w:p>
            <w:r>
              <w:rPr>
                <w:sz w:val="18"/>
              </w:rPr>
              <w:t>Lupins</w:t>
            </w:r>
          </w:p>
        </w:tc>
      </w:tr>
      <w:tr>
        <w:tc>
          <w:tcPr>
            <w:tcW w:type="dxa" w:w="3118"/>
            <w:shd w:val="clear" w:color="auto" w:fill="DCE6F1"/>
            <w:vAlign w:val="center"/>
          </w:tcPr>
          <w:p>
            <w:r>
              <w:rPr>
                <w:b/>
                <w:sz w:val="18"/>
              </w:rPr>
              <w:t>Responsible Officer</w:t>
            </w:r>
          </w:p>
        </w:tc>
        <w:tc>
          <w:tcPr>
            <w:tcW w:type="dxa" w:w="6236"/>
            <w:vAlign w:val="center"/>
          </w:tcPr>
          <w:p>
            <w:r>
              <w:rPr>
                <w:sz w:val="18"/>
              </w:rPr>
              <w:t>Kylie Ambrose</w:t>
            </w:r>
          </w:p>
        </w:tc>
      </w:tr>
      <w:tr>
        <w:tc>
          <w:tcPr>
            <w:tcW w:type="dxa" w:w="3118"/>
            <w:shd w:val="clear" w:color="auto" w:fill="DCE6F1"/>
            <w:vAlign w:val="center"/>
          </w:tcPr>
          <w:p>
            <w:r>
              <w:rPr>
                <w:b/>
                <w:sz w:val="18"/>
              </w:rPr>
              <w:t>Property Area</w:t>
            </w:r>
          </w:p>
        </w:tc>
        <w:tc>
          <w:tcPr>
            <w:tcW w:type="dxa" w:w="6236"/>
            <w:vAlign w:val="center"/>
          </w:tcPr>
          <w:p>
            <w:r>
              <w:rPr>
                <w:sz w:val="18"/>
              </w:rPr>
              <w:t>410.0 ha</w:t>
            </w:r>
          </w:p>
        </w:tc>
      </w:tr>
      <w:tr>
        <w:tc>
          <w:tcPr>
            <w:tcW w:type="dxa" w:w="3118"/>
            <w:shd w:val="clear" w:color="auto" w:fill="DCE6F1"/>
            <w:vAlign w:val="center"/>
          </w:tcPr>
          <w:p>
            <w:r>
              <w:rPr>
                <w:b/>
                <w:sz w:val="18"/>
              </w:rPr>
              <w:t>Year Established</w:t>
            </w:r>
          </w:p>
        </w:tc>
        <w:tc>
          <w:tcPr>
            <w:tcW w:type="dxa" w:w="6236"/>
            <w:vAlign w:val="center"/>
          </w:tcPr>
          <w:p>
            <w:r>
              <w:rPr>
                <w:sz w:val="18"/>
              </w:rPr>
              <w:t>2022</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30 August 2024</w:t>
            </w:r>
          </w:p>
        </w:tc>
      </w:tr>
      <w:tr>
        <w:tc>
          <w:tcPr>
            <w:tcW w:type="dxa" w:w="3118"/>
            <w:shd w:val="clear" w:color="auto" w:fill="DCE6F1"/>
            <w:vAlign w:val="center"/>
          </w:tcPr>
          <w:p>
            <w:r>
              <w:rPr>
                <w:b/>
                <w:sz w:val="18"/>
              </w:rPr>
              <w:t>Next Review</w:t>
            </w:r>
          </w:p>
        </w:tc>
        <w:tc>
          <w:tcPr>
            <w:tcW w:type="dxa" w:w="6236"/>
            <w:vAlign w:val="center"/>
          </w:tcPr>
          <w:p>
            <w:r>
              <w:rPr>
                <w:sz w:val="18"/>
              </w:rPr>
              <w:t>30 August 2026</w:t>
            </w:r>
          </w:p>
        </w:tc>
      </w:tr>
    </w:tbl>
    <w:p/>
    <w:p>
      <w:pPr>
        <w:pStyle w:val="Heading1"/>
      </w:pPr>
      <w:r>
        <w:rPr>
          <w:color w:val="1F497D"/>
        </w:rPr>
        <w:t>1.  OVERVIEW</w:t>
      </w:r>
    </w:p>
    <w:p>
      <w:r>
        <w:rPr>
          <w:b w:val="0"/>
          <w:i w:val="0"/>
          <w:sz w:val="20"/>
        </w:rPr>
        <w:t>Northern Rivers Macadamias is a registered export establishment located at 45 Pacific Highway, Ballina NSW 2478, NSW. The establishment holds RE Number RE-NSW-2023-0066 and is registered to handle and export Lupins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GS</w:t>
            </w:r>
          </w:p>
        </w:tc>
        <w:tc>
          <w:tcPr>
            <w:tcW w:type="dxa" w:w="3118"/>
            <w:shd w:val="clear" w:color="auto" w:fill="FFFFFF"/>
            <w:vAlign w:val="center"/>
          </w:tcPr>
          <w:p>
            <w:r>
              <w:rPr>
                <w:sz w:val="18"/>
              </w:rPr>
              <w:t>Grading Shed</w:t>
            </w:r>
          </w:p>
        </w:tc>
        <w:tc>
          <w:tcPr>
            <w:tcW w:type="dxa" w:w="1587"/>
            <w:shd w:val="clear" w:color="auto" w:fill="FFFFFF"/>
            <w:vAlign w:val="center"/>
          </w:tcPr>
          <w:p>
            <w:r>
              <w:rPr>
                <w:sz w:val="18"/>
              </w:rPr>
              <w:t>28×20 m</w:t>
            </w:r>
          </w:p>
        </w:tc>
        <w:tc>
          <w:tcPr>
            <w:tcW w:type="dxa" w:w="1984"/>
            <w:shd w:val="clear" w:color="auto" w:fill="FFFFFF"/>
            <w:vAlign w:val="center"/>
          </w:tcPr>
          <w:p>
            <w:r>
              <w:rPr>
                <w:sz w:val="18"/>
              </w:rPr>
              <w:t>Steel portal, concrete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S1–S4</w:t>
            </w:r>
          </w:p>
        </w:tc>
        <w:tc>
          <w:tcPr>
            <w:tcW w:type="dxa" w:w="3118"/>
            <w:shd w:val="clear" w:color="auto" w:fill="F2F2F2"/>
            <w:vAlign w:val="center"/>
          </w:tcPr>
          <w:p>
            <w:r>
              <w:rPr>
                <w:sz w:val="18"/>
              </w:rPr>
              <w:t>Storage Bins ×4 (1,000 t ea)</w:t>
            </w:r>
          </w:p>
        </w:tc>
        <w:tc>
          <w:tcPr>
            <w:tcW w:type="dxa" w:w="1587"/>
            <w:shd w:val="clear" w:color="auto" w:fill="F2F2F2"/>
            <w:vAlign w:val="center"/>
          </w:tcPr>
          <w:p>
            <w:r>
              <w:rPr>
                <w:sz w:val="18"/>
              </w:rPr>
              <w:t>Dia. 10 m</w:t>
            </w:r>
          </w:p>
        </w:tc>
        <w:tc>
          <w:tcPr>
            <w:tcW w:type="dxa" w:w="1984"/>
            <w:shd w:val="clear" w:color="auto" w:fill="F2F2F2"/>
            <w:vAlign w:val="center"/>
          </w:tcPr>
          <w:p>
            <w:r>
              <w:rPr>
                <w:sz w:val="18"/>
              </w:rPr>
              <w:t>Steel on concrete</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7×5 m</w:t>
            </w:r>
          </w:p>
        </w:tc>
        <w:tc>
          <w:tcPr>
            <w:tcW w:type="dxa" w:w="1984"/>
            <w:shd w:val="clear" w:color="auto" w:fill="FFFFFF"/>
            <w:vAlign w:val="center"/>
          </w:tcPr>
          <w:p>
            <w:r>
              <w:rPr>
                <w:sz w:val="18"/>
              </w:rPr>
              <w:t>Brick</w:t>
            </w:r>
          </w:p>
        </w:tc>
        <w:tc>
          <w:tcPr>
            <w:tcW w:type="dxa" w:w="2381"/>
            <w:shd w:val="clear" w:color="auto" w:fill="FFFFFF"/>
            <w:vAlign w:val="center"/>
          </w:tcPr>
          <w:p>
            <w:r>
              <w:rPr>
                <w:sz w:val="18"/>
              </w:rPr>
              <w:t>Adjacent GS entry</w:t>
            </w:r>
          </w:p>
        </w:tc>
      </w:tr>
      <w:tr>
        <w:tc>
          <w:tcPr>
            <w:tcW w:type="dxa" w:w="850"/>
            <w:shd w:val="clear" w:color="auto" w:fill="F2F2F2"/>
            <w:vAlign w:val="center"/>
          </w:tcPr>
          <w:p>
            <w:r>
              <w:rPr>
                <w:sz w:val="18"/>
              </w:rPr>
              <w:t>CH</w:t>
            </w:r>
          </w:p>
        </w:tc>
        <w:tc>
          <w:tcPr>
            <w:tcW w:type="dxa" w:w="3118"/>
            <w:shd w:val="clear" w:color="auto" w:fill="F2F2F2"/>
            <w:vAlign w:val="center"/>
          </w:tcPr>
          <w:p>
            <w:r>
              <w:rPr>
                <w:sz w:val="18"/>
              </w:rPr>
              <w:t>Chemical Store</w:t>
            </w:r>
          </w:p>
        </w:tc>
        <w:tc>
          <w:tcPr>
            <w:tcW w:type="dxa" w:w="1587"/>
            <w:shd w:val="clear" w:color="auto" w:fill="F2F2F2"/>
            <w:vAlign w:val="center"/>
          </w:tcPr>
          <w:p>
            <w:r>
              <w:rPr>
                <w:sz w:val="18"/>
              </w:rPr>
              <w:t>5×3 m</w:t>
            </w:r>
          </w:p>
        </w:tc>
        <w:tc>
          <w:tcPr>
            <w:tcW w:type="dxa" w:w="1984"/>
            <w:shd w:val="clear" w:color="auto" w:fill="F2F2F2"/>
            <w:vAlign w:val="center"/>
          </w:tcPr>
          <w:p>
            <w:r>
              <w:rPr>
                <w:sz w:val="18"/>
              </w:rPr>
              <w:t>Steel, bunded</w:t>
            </w:r>
          </w:p>
        </w:tc>
        <w:tc>
          <w:tcPr>
            <w:tcW w:type="dxa" w:w="2381"/>
            <w:shd w:val="clear" w:color="auto" w:fill="F2F2F2"/>
            <w:vAlign w:val="center"/>
          </w:tcPr>
          <w:p>
            <w:r>
              <w:rPr>
                <w:sz w:val="18"/>
              </w:rPr>
              <w:t>Remote — NW corner</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5×4 m</w:t>
            </w:r>
          </w:p>
        </w:tc>
        <w:tc>
          <w:tcPr>
            <w:tcW w:type="dxa" w:w="1984"/>
            <w:shd w:val="clear" w:color="auto" w:fill="FFFFFF"/>
            <w:vAlign w:val="center"/>
          </w:tcPr>
          <w:p>
            <w:r>
              <w:rPr>
                <w:sz w:val="18"/>
              </w:rPr>
              <w:t>Enclosed room in GS</w:t>
            </w:r>
          </w:p>
        </w:tc>
        <w:tc>
          <w:tcPr>
            <w:tcW w:type="dxa" w:w="2381"/>
            <w:shd w:val="clear" w:color="auto" w:fill="FFFFFF"/>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Lupins.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(WM-SOP-119, version 2.4,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Kylie Ambrose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30 August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