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Dawson Valley Grain</w:t>
            </w:r>
          </w:p>
        </w:tc>
      </w:tr>
      <w:tr>
        <w:tc>
          <w:tcPr>
            <w:tcW w:type="dxa" w:w="3118"/>
            <w:shd w:val="clear" w:color="auto" w:fill="DCE6F1"/>
          </w:tcPr>
          <w:p>
            <w:r>
              <w:rPr>
                <w:b/>
                <w:sz w:val="18"/>
              </w:rPr>
              <w:t>RE Number</w:t>
            </w:r>
          </w:p>
        </w:tc>
        <w:tc>
          <w:tcPr>
            <w:tcW w:type="dxa" w:w="6236"/>
          </w:tcPr>
          <w:p>
            <w:r>
              <w:rPr>
                <w:sz w:val="18"/>
              </w:rPr>
              <w:t>RE-QLD-2021-0200</w:t>
            </w:r>
          </w:p>
        </w:tc>
      </w:tr>
      <w:tr>
        <w:tc>
          <w:tcPr>
            <w:tcW w:type="dxa" w:w="3118"/>
            <w:shd w:val="clear" w:color="auto" w:fill="DCE6F1"/>
          </w:tcPr>
          <w:p>
            <w:r>
              <w:rPr>
                <w:b/>
                <w:sz w:val="18"/>
              </w:rPr>
              <w:t>State</w:t>
            </w:r>
          </w:p>
        </w:tc>
        <w:tc>
          <w:tcPr>
            <w:tcW w:type="dxa" w:w="6236"/>
            <w:shd w:val="clear" w:color="auto" w:fill="F2F2F2"/>
          </w:tcPr>
          <w:p>
            <w:r>
              <w:rPr>
                <w:sz w:val="18"/>
              </w:rPr>
              <w:t>QLD</w:t>
            </w:r>
          </w:p>
        </w:tc>
      </w:tr>
      <w:tr>
        <w:tc>
          <w:tcPr>
            <w:tcW w:type="dxa" w:w="3118"/>
            <w:shd w:val="clear" w:color="auto" w:fill="DCE6F1"/>
          </w:tcPr>
          <w:p>
            <w:r>
              <w:rPr>
                <w:b/>
                <w:sz w:val="18"/>
              </w:rPr>
              <w:t>Property Address</w:t>
            </w:r>
          </w:p>
        </w:tc>
        <w:tc>
          <w:tcPr>
            <w:tcW w:type="dxa" w:w="6236"/>
          </w:tcPr>
          <w:p>
            <w:r>
              <w:rPr>
                <w:sz w:val="18"/>
              </w:rPr>
              <w:t>55 Dawson Highway, Theodore QLD 4719</w:t>
            </w:r>
          </w:p>
        </w:tc>
      </w:tr>
      <w:tr>
        <w:tc>
          <w:tcPr>
            <w:tcW w:type="dxa" w:w="3118"/>
            <w:shd w:val="clear" w:color="auto" w:fill="DCE6F1"/>
          </w:tcPr>
          <w:p>
            <w:r>
              <w:rPr>
                <w:b/>
                <w:sz w:val="18"/>
              </w:rPr>
              <w:t>Registered Commodity</w:t>
            </w:r>
          </w:p>
        </w:tc>
        <w:tc>
          <w:tcPr>
            <w:tcW w:type="dxa" w:w="6236"/>
            <w:shd w:val="clear" w:color="auto" w:fill="F2F2F2"/>
          </w:tcPr>
          <w:p>
            <w:r>
              <w:rPr>
                <w:sz w:val="18"/>
              </w:rPr>
              <w:t>Lentils and Chickpeas</w:t>
            </w:r>
          </w:p>
        </w:tc>
      </w:tr>
      <w:tr>
        <w:tc>
          <w:tcPr>
            <w:tcW w:type="dxa" w:w="3118"/>
            <w:shd w:val="clear" w:color="auto" w:fill="DCE6F1"/>
          </w:tcPr>
          <w:p>
            <w:r>
              <w:rPr>
                <w:b/>
                <w:sz w:val="18"/>
              </w:rPr>
              <w:t>Map Version</w:t>
            </w:r>
          </w:p>
        </w:tc>
        <w:tc>
          <w:tcPr>
            <w:tcW w:type="dxa" w:w="6236"/>
          </w:tcPr>
          <w:p>
            <w:r>
              <w:rPr>
                <w:sz w:val="18"/>
              </w:rPr>
              <w:t>v4.1</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QA Coordinator</w:t>
            </w:r>
          </w:p>
        </w:tc>
      </w:tr>
    </w:tbl>
    <w:p/>
    <w:p>
      <w:pPr>
        <w:spacing w:before="200" w:after="60"/>
      </w:pPr>
      <w:r>
        <w:rPr>
          <w:b/>
          <w:color w:val="1F497D"/>
          <w:sz w:val="26"/>
        </w:rPr>
        <w:t>1. Pest Control System Overview</w:t>
      </w:r>
    </w:p>
    <w:p>
      <w:r>
        <w:rPr>
          <w:b w:val="0"/>
          <w:i w:val="0"/>
          <w:sz w:val="18"/>
        </w:rPr>
        <w:t>Integrated pest management applies stored-product beetle surveillance using 20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Cracked lid</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Difethialone 0.0025%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Cracked lid</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Cracked lid</w:t>
            </w:r>
          </w:p>
        </w:tc>
        <w:tc>
          <w:tcPr>
            <w:tcW w:type="dxa" w:w="1568"/>
            <w:shd w:val="clear" w:color="auto" w:fill="EEF4FB"/>
          </w:tcPr>
          <w:p>
            <w:r>
              <w:rPr>
                <w:sz w:val="16"/>
              </w:rPr>
              <w:t>Active</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BS-19</w:t>
            </w:r>
          </w:p>
        </w:tc>
        <w:tc>
          <w:tcPr>
            <w:tcW w:type="dxa" w:w="1568"/>
            <w:shd w:val="clear" w:color="auto" w:fill="EEF4FB"/>
          </w:tcPr>
          <w:p>
            <w:r>
              <w:rPr>
                <w:sz w:val="16"/>
              </w:rPr>
              <w:t>Zone 5</w:t>
            </w:r>
          </w:p>
        </w:tc>
        <w:tc>
          <w:tcPr>
            <w:tcW w:type="dxa" w:w="1568"/>
            <w:shd w:val="clear" w:color="auto" w:fill="EEF4FB"/>
          </w:tcPr>
          <w:p>
            <w:r>
              <w:rPr>
                <w:sz w:val="16"/>
              </w:rPr>
              <w:t>Perimeter wall segment 3</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BS-20</w:t>
            </w:r>
          </w:p>
        </w:tc>
        <w:tc>
          <w:tcPr>
            <w:tcW w:type="dxa" w:w="1568"/>
          </w:tcPr>
          <w:p>
            <w:r>
              <w:rPr>
                <w:sz w:val="16"/>
              </w:rPr>
              <w:t>Zone 5</w:t>
            </w:r>
          </w:p>
        </w:tc>
        <w:tc>
          <w:tcPr>
            <w:tcW w:type="dxa" w:w="1568"/>
          </w:tcPr>
          <w:p>
            <w:r>
              <w:rPr>
                <w:sz w:val="16"/>
              </w:rPr>
              <w:t>Perimeter wall segment 4</w:t>
            </w:r>
          </w:p>
        </w:tc>
        <w:tc>
          <w:tcPr>
            <w:tcW w:type="dxa" w:w="1568"/>
          </w:tcPr>
          <w:p>
            <w:r>
              <w:rPr>
                <w:sz w:val="16"/>
              </w:rPr>
              <w:t>Bromadiolone 0.005%</w:t>
            </w:r>
          </w:p>
        </w:tc>
        <w:tc>
          <w:tcPr>
            <w:tcW w:type="dxa" w:w="1568"/>
          </w:tcPr>
          <w:p>
            <w:r>
              <w:rPr>
                <w:sz w:val="16"/>
              </w:rPr>
              <w:t>Water ingress</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Pesticides stored in dedicated locked cabinet with inventory reconciliation.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Dawson Valley Grain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