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Condamine Grain Co</w:t>
            </w:r>
          </w:p>
        </w:tc>
      </w:tr>
      <w:tr>
        <w:tc>
          <w:tcPr>
            <w:tcW w:type="dxa" w:w="3118"/>
            <w:shd w:val="clear" w:color="auto" w:fill="DCE6F1"/>
            <w:vAlign w:val="center"/>
          </w:tcPr>
          <w:p>
            <w:r>
              <w:rPr>
                <w:b/>
                <w:sz w:val="18"/>
              </w:rPr>
              <w:t>RE Number</w:t>
            </w:r>
          </w:p>
        </w:tc>
        <w:tc>
          <w:tcPr>
            <w:tcW w:type="dxa" w:w="6236"/>
            <w:vAlign w:val="center"/>
          </w:tcPr>
          <w:p>
            <w:r>
              <w:rPr>
                <w:sz w:val="18"/>
              </w:rPr>
              <w:t>RE-QLD-2022-0091</w:t>
            </w:r>
          </w:p>
        </w:tc>
      </w:tr>
      <w:tr>
        <w:tc>
          <w:tcPr>
            <w:tcW w:type="dxa" w:w="3118"/>
            <w:shd w:val="clear" w:color="auto" w:fill="DCE6F1"/>
            <w:vAlign w:val="center"/>
          </w:tcPr>
          <w:p>
            <w:r>
              <w:rPr>
                <w:b/>
                <w:sz w:val="18"/>
              </w:rPr>
              <w:t>State / Territory</w:t>
            </w:r>
          </w:p>
        </w:tc>
        <w:tc>
          <w:tcPr>
            <w:tcW w:type="dxa" w:w="6236"/>
            <w:vAlign w:val="center"/>
          </w:tcPr>
          <w:p>
            <w:r>
              <w:rPr>
                <w:sz w:val="18"/>
              </w:rPr>
              <w:t>QLD</w:t>
            </w:r>
          </w:p>
        </w:tc>
      </w:tr>
      <w:tr>
        <w:tc>
          <w:tcPr>
            <w:tcW w:type="dxa" w:w="3118"/>
            <w:shd w:val="clear" w:color="auto" w:fill="DCE6F1"/>
            <w:vAlign w:val="center"/>
          </w:tcPr>
          <w:p>
            <w:r>
              <w:rPr>
                <w:b/>
                <w:sz w:val="18"/>
              </w:rPr>
              <w:t>Property Address</w:t>
            </w:r>
          </w:p>
        </w:tc>
        <w:tc>
          <w:tcPr>
            <w:tcW w:type="dxa" w:w="6236"/>
            <w:vAlign w:val="center"/>
          </w:tcPr>
          <w:p>
            <w:r>
              <w:rPr>
                <w:sz w:val="18"/>
              </w:rPr>
              <w:t>13 Cunningham Highway, Warwick QLD 4370</w:t>
            </w:r>
          </w:p>
        </w:tc>
      </w:tr>
      <w:tr>
        <w:tc>
          <w:tcPr>
            <w:tcW w:type="dxa" w:w="3118"/>
            <w:shd w:val="clear" w:color="auto" w:fill="DCE6F1"/>
            <w:vAlign w:val="center"/>
          </w:tcPr>
          <w:p>
            <w:r>
              <w:rPr>
                <w:b/>
                <w:sz w:val="18"/>
              </w:rPr>
              <w:t>Registered Commodity</w:t>
            </w:r>
          </w:p>
        </w:tc>
        <w:tc>
          <w:tcPr>
            <w:tcW w:type="dxa" w:w="6236"/>
            <w:vAlign w:val="center"/>
          </w:tcPr>
          <w:p>
            <w:r>
              <w:rPr>
                <w:sz w:val="18"/>
              </w:rPr>
              <w:t>Barley</w:t>
            </w:r>
          </w:p>
        </w:tc>
      </w:tr>
      <w:tr>
        <w:tc>
          <w:tcPr>
            <w:tcW w:type="dxa" w:w="3118"/>
            <w:shd w:val="clear" w:color="auto" w:fill="DCE6F1"/>
            <w:vAlign w:val="center"/>
          </w:tcPr>
          <w:p>
            <w:r>
              <w:rPr>
                <w:b/>
                <w:sz w:val="18"/>
              </w:rPr>
              <w:t>Responsible Officer</w:t>
            </w:r>
          </w:p>
        </w:tc>
        <w:tc>
          <w:tcPr>
            <w:tcW w:type="dxa" w:w="6236"/>
            <w:vAlign w:val="center"/>
          </w:tcPr>
          <w:p>
            <w:r>
              <w:rPr>
                <w:sz w:val="18"/>
              </w:rPr>
              <w:t>Gordon Spence</w:t>
            </w:r>
          </w:p>
        </w:tc>
      </w:tr>
      <w:tr>
        <w:tc>
          <w:tcPr>
            <w:tcW w:type="dxa" w:w="3118"/>
            <w:shd w:val="clear" w:color="auto" w:fill="DCE6F1"/>
            <w:vAlign w:val="center"/>
          </w:tcPr>
          <w:p>
            <w:r>
              <w:rPr>
                <w:b/>
                <w:sz w:val="18"/>
              </w:rPr>
              <w:t>Property Area</w:t>
            </w:r>
          </w:p>
        </w:tc>
        <w:tc>
          <w:tcPr>
            <w:tcW w:type="dxa" w:w="6236"/>
            <w:vAlign w:val="center"/>
          </w:tcPr>
          <w:p>
            <w:r>
              <w:rPr>
                <w:sz w:val="18"/>
              </w:rPr>
              <w:t>720.0 ha</w:t>
            </w:r>
          </w:p>
        </w:tc>
      </w:tr>
      <w:tr>
        <w:tc>
          <w:tcPr>
            <w:tcW w:type="dxa" w:w="3118"/>
            <w:shd w:val="clear" w:color="auto" w:fill="DCE6F1"/>
            <w:vAlign w:val="center"/>
          </w:tcPr>
          <w:p>
            <w:r>
              <w:rPr>
                <w:b/>
                <w:sz w:val="18"/>
              </w:rPr>
              <w:t>Year Established</w:t>
            </w:r>
          </w:p>
        </w:tc>
        <w:tc>
          <w:tcPr>
            <w:tcW w:type="dxa" w:w="6236"/>
            <w:vAlign w:val="center"/>
          </w:tcPr>
          <w:p>
            <w:r>
              <w:rPr>
                <w:sz w:val="18"/>
              </w:rPr>
              <w:t>2009</w:t>
            </w:r>
          </w:p>
        </w:tc>
      </w:tr>
      <w:tr>
        <w:tc>
          <w:tcPr>
            <w:tcW w:type="dxa" w:w="3118"/>
            <w:shd w:val="clear" w:color="auto" w:fill="DCE6F1"/>
            <w:vAlign w:val="center"/>
          </w:tcPr>
          <w:p>
            <w:r>
              <w:rPr>
                <w:b/>
                <w:sz w:val="18"/>
              </w:rPr>
              <w:t>Document Version</w:t>
            </w:r>
          </w:p>
        </w:tc>
        <w:tc>
          <w:tcPr>
            <w:tcW w:type="dxa" w:w="6236"/>
            <w:vAlign w:val="center"/>
          </w:tcPr>
          <w:p>
            <w:r>
              <w:rPr>
                <w:sz w:val="18"/>
              </w:rPr>
              <w:t>2.2</w:t>
            </w:r>
          </w:p>
        </w:tc>
      </w:tr>
      <w:tr>
        <w:tc>
          <w:tcPr>
            <w:tcW w:type="dxa" w:w="3118"/>
            <w:shd w:val="clear" w:color="auto" w:fill="DCE6F1"/>
            <w:vAlign w:val="center"/>
          </w:tcPr>
          <w:p>
            <w:r>
              <w:rPr>
                <w:b/>
                <w:sz w:val="18"/>
              </w:rPr>
              <w:t>Plan Date</w:t>
            </w:r>
          </w:p>
        </w:tc>
        <w:tc>
          <w:tcPr>
            <w:tcW w:type="dxa" w:w="6236"/>
            <w:vAlign w:val="center"/>
          </w:tcPr>
          <w:p>
            <w:r>
              <w:rPr>
                <w:sz w:val="18"/>
              </w:rPr>
              <w:t>8 February 2024</w:t>
            </w:r>
          </w:p>
        </w:tc>
      </w:tr>
      <w:tr>
        <w:tc>
          <w:tcPr>
            <w:tcW w:type="dxa" w:w="3118"/>
            <w:shd w:val="clear" w:color="auto" w:fill="DCE6F1"/>
            <w:vAlign w:val="center"/>
          </w:tcPr>
          <w:p>
            <w:r>
              <w:rPr>
                <w:b/>
                <w:sz w:val="18"/>
              </w:rPr>
              <w:t>Next Review</w:t>
            </w:r>
          </w:p>
        </w:tc>
        <w:tc>
          <w:tcPr>
            <w:tcW w:type="dxa" w:w="6236"/>
            <w:vAlign w:val="center"/>
          </w:tcPr>
          <w:p>
            <w:r>
              <w:rPr>
                <w:sz w:val="18"/>
              </w:rPr>
              <w:t>8 February 2026</w:t>
            </w:r>
          </w:p>
        </w:tc>
      </w:tr>
    </w:tbl>
    <w:p/>
    <w:p>
      <w:pPr>
        <w:pStyle w:val="Heading1"/>
      </w:pPr>
      <w:r>
        <w:rPr>
          <w:color w:val="1F497D"/>
        </w:rPr>
        <w:t>1.  OVERVIEW</w:t>
      </w:r>
    </w:p>
    <w:p>
      <w:r>
        <w:rPr>
          <w:b w:val="0"/>
          <w:i w:val="0"/>
          <w:sz w:val="20"/>
        </w:rPr>
        <w:t>Condamine Grain Co is a registered export establishment located at 13 Cunningham Highway, Warwick QLD 4370, QLD. The establishment holds RE Number RE-QLD-2022-0091 and is registered to handle and export Barley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WB</w:t>
            </w:r>
          </w:p>
        </w:tc>
        <w:tc>
          <w:tcPr>
            <w:tcW w:type="dxa" w:w="3118"/>
            <w:shd w:val="clear" w:color="auto" w:fill="FFFFFF"/>
            <w:vAlign w:val="center"/>
          </w:tcPr>
          <w:p>
            <w:r>
              <w:rPr>
                <w:sz w:val="18"/>
              </w:rPr>
              <w:t>Weighbridge + Control Room</w:t>
            </w:r>
          </w:p>
        </w:tc>
        <w:tc>
          <w:tcPr>
            <w:tcW w:type="dxa" w:w="1587"/>
            <w:shd w:val="clear" w:color="auto" w:fill="FFFFFF"/>
            <w:vAlign w:val="center"/>
          </w:tcPr>
          <w:p>
            <w:r>
              <w:rPr>
                <w:sz w:val="18"/>
              </w:rPr>
              <w:t>12×6 m</w:t>
            </w:r>
          </w:p>
        </w:tc>
        <w:tc>
          <w:tcPr>
            <w:tcW w:type="dxa" w:w="1984"/>
            <w:shd w:val="clear" w:color="auto" w:fill="FFFFFF"/>
            <w:vAlign w:val="center"/>
          </w:tcPr>
          <w:p>
            <w:r>
              <w:rPr>
                <w:sz w:val="18"/>
              </w:rPr>
              <w:t>Steel portal, concrete pit</w:t>
            </w:r>
          </w:p>
        </w:tc>
        <w:tc>
          <w:tcPr>
            <w:tcW w:type="dxa" w:w="2381"/>
            <w:shd w:val="clear" w:color="auto" w:fill="FFFFFF"/>
            <w:vAlign w:val="center"/>
          </w:tcPr>
          <w:p>
            <w:r>
              <w:rPr>
                <w:sz w:val="18"/>
              </w:rPr>
              <w:t>North entry — road access</w:t>
            </w:r>
          </w:p>
        </w:tc>
      </w:tr>
      <w:tr>
        <w:tc>
          <w:tcPr>
            <w:tcW w:type="dxa" w:w="850"/>
            <w:shd w:val="clear" w:color="auto" w:fill="F2F2F2"/>
            <w:vAlign w:val="center"/>
          </w:tcPr>
          <w:p>
            <w:r>
              <w:rPr>
                <w:sz w:val="18"/>
              </w:rPr>
              <w:t>RB</w:t>
            </w:r>
          </w:p>
        </w:tc>
        <w:tc>
          <w:tcPr>
            <w:tcW w:type="dxa" w:w="3118"/>
            <w:shd w:val="clear" w:color="auto" w:fill="F2F2F2"/>
            <w:vAlign w:val="center"/>
          </w:tcPr>
          <w:p>
            <w:r>
              <w:rPr>
                <w:sz w:val="18"/>
              </w:rPr>
              <w:t>Receival Building</w:t>
            </w:r>
          </w:p>
        </w:tc>
        <w:tc>
          <w:tcPr>
            <w:tcW w:type="dxa" w:w="1587"/>
            <w:shd w:val="clear" w:color="auto" w:fill="F2F2F2"/>
            <w:vAlign w:val="center"/>
          </w:tcPr>
          <w:p>
            <w:r>
              <w:rPr>
                <w:sz w:val="18"/>
              </w:rPr>
              <w:t>22×18 m</w:t>
            </w:r>
          </w:p>
        </w:tc>
        <w:tc>
          <w:tcPr>
            <w:tcW w:type="dxa" w:w="1984"/>
            <w:shd w:val="clear" w:color="auto" w:fill="F2F2F2"/>
            <w:vAlign w:val="center"/>
          </w:tcPr>
          <w:p>
            <w:r>
              <w:rPr>
                <w:sz w:val="18"/>
              </w:rPr>
              <w:t>Steel portal, smooth concrete floor</w:t>
            </w:r>
          </w:p>
        </w:tc>
        <w:tc>
          <w:tcPr>
            <w:tcW w:type="dxa" w:w="2381"/>
            <w:shd w:val="clear" w:color="auto" w:fill="F2F2F2"/>
            <w:vAlign w:val="center"/>
          </w:tcPr>
          <w:p>
            <w:r>
              <w:rPr>
                <w:sz w:val="18"/>
              </w:rPr>
              <w:t>Centre-north of site</w:t>
            </w:r>
          </w:p>
        </w:tc>
      </w:tr>
      <w:tr>
        <w:tc>
          <w:tcPr>
            <w:tcW w:type="dxa" w:w="850"/>
            <w:shd w:val="clear" w:color="auto" w:fill="FFFFFF"/>
            <w:vAlign w:val="center"/>
          </w:tcPr>
          <w:p>
            <w:r>
              <w:rPr>
                <w:sz w:val="18"/>
              </w:rPr>
              <w:t>S1–S4</w:t>
            </w:r>
          </w:p>
        </w:tc>
        <w:tc>
          <w:tcPr>
            <w:tcW w:type="dxa" w:w="3118"/>
            <w:shd w:val="clear" w:color="auto" w:fill="FFFFFF"/>
            <w:vAlign w:val="center"/>
          </w:tcPr>
          <w:p>
            <w:r>
              <w:rPr>
                <w:sz w:val="18"/>
              </w:rPr>
              <w:t>Storage Silos ×4 (1,800 t ea)</w:t>
            </w:r>
          </w:p>
        </w:tc>
        <w:tc>
          <w:tcPr>
            <w:tcW w:type="dxa" w:w="1587"/>
            <w:shd w:val="clear" w:color="auto" w:fill="FFFFFF"/>
            <w:vAlign w:val="center"/>
          </w:tcPr>
          <w:p>
            <w:r>
              <w:rPr>
                <w:sz w:val="18"/>
              </w:rPr>
              <w:t>Dia. 10 m</w:t>
            </w:r>
          </w:p>
        </w:tc>
        <w:tc>
          <w:tcPr>
            <w:tcW w:type="dxa" w:w="1984"/>
            <w:shd w:val="clear" w:color="auto" w:fill="FFFFFF"/>
            <w:vAlign w:val="center"/>
          </w:tcPr>
          <w:p>
            <w:r>
              <w:rPr>
                <w:sz w:val="18"/>
              </w:rPr>
              <w:t>Galvanised steel on concrete ring beams</w:t>
            </w:r>
          </w:p>
        </w:tc>
        <w:tc>
          <w:tcPr>
            <w:tcW w:type="dxa" w:w="2381"/>
            <w:shd w:val="clear" w:color="auto" w:fill="FFFFFF"/>
            <w:vAlign w:val="center"/>
          </w:tcPr>
          <w:p>
            <w:r>
              <w:rPr>
                <w:sz w:val="18"/>
              </w:rPr>
              <w:t>Central cluster</w:t>
            </w:r>
          </w:p>
        </w:tc>
      </w:tr>
      <w:tr>
        <w:tc>
          <w:tcPr>
            <w:tcW w:type="dxa" w:w="850"/>
            <w:shd w:val="clear" w:color="auto" w:fill="F2F2F2"/>
            <w:vAlign w:val="center"/>
          </w:tcPr>
          <w:p>
            <w:r>
              <w:rPr>
                <w:sz w:val="18"/>
              </w:rPr>
              <w:t>PL</w:t>
            </w:r>
          </w:p>
        </w:tc>
        <w:tc>
          <w:tcPr>
            <w:tcW w:type="dxa" w:w="3118"/>
            <w:shd w:val="clear" w:color="auto" w:fill="F2F2F2"/>
            <w:vAlign w:val="center"/>
          </w:tcPr>
          <w:p>
            <w:r>
              <w:rPr>
                <w:sz w:val="18"/>
              </w:rPr>
              <w:t>Packing &amp; Load-Out Shed</w:t>
            </w:r>
          </w:p>
        </w:tc>
        <w:tc>
          <w:tcPr>
            <w:tcW w:type="dxa" w:w="1587"/>
            <w:shd w:val="clear" w:color="auto" w:fill="F2F2F2"/>
            <w:vAlign w:val="center"/>
          </w:tcPr>
          <w:p>
            <w:r>
              <w:rPr>
                <w:sz w:val="18"/>
              </w:rPr>
              <w:t>20×18 m</w:t>
            </w:r>
          </w:p>
        </w:tc>
        <w:tc>
          <w:tcPr>
            <w:tcW w:type="dxa" w:w="1984"/>
            <w:shd w:val="clear" w:color="auto" w:fill="F2F2F2"/>
            <w:vAlign w:val="center"/>
          </w:tcPr>
          <w:p>
            <w:r>
              <w:rPr>
                <w:sz w:val="18"/>
              </w:rPr>
              <w:t>Tilt-up concrete panels</w:t>
            </w:r>
          </w:p>
        </w:tc>
        <w:tc>
          <w:tcPr>
            <w:tcW w:type="dxa" w:w="2381"/>
            <w:shd w:val="clear" w:color="auto" w:fill="F2F2F2"/>
            <w:vAlign w:val="center"/>
          </w:tcPr>
          <w:p>
            <w:r>
              <w:rPr>
                <w:sz w:val="18"/>
              </w:rPr>
              <w:t>South end of site</w:t>
            </w:r>
          </w:p>
        </w:tc>
      </w:tr>
      <w:tr>
        <w:tc>
          <w:tcPr>
            <w:tcW w:type="dxa" w:w="850"/>
            <w:shd w:val="clear" w:color="auto" w:fill="FFFFFF"/>
            <w:vAlign w:val="center"/>
          </w:tcPr>
          <w:p>
            <w:r>
              <w:rPr>
                <w:sz w:val="18"/>
              </w:rPr>
              <w:t>AM</w:t>
            </w:r>
          </w:p>
        </w:tc>
        <w:tc>
          <w:tcPr>
            <w:tcW w:type="dxa" w:w="3118"/>
            <w:shd w:val="clear" w:color="auto" w:fill="FFFFFF"/>
            <w:vAlign w:val="center"/>
          </w:tcPr>
          <w:p>
            <w:r>
              <w:rPr>
                <w:sz w:val="18"/>
              </w:rPr>
              <w:t>Amenities Block</w:t>
            </w:r>
          </w:p>
        </w:tc>
        <w:tc>
          <w:tcPr>
            <w:tcW w:type="dxa" w:w="1587"/>
            <w:shd w:val="clear" w:color="auto" w:fill="FFFFFF"/>
            <w:vAlign w:val="center"/>
          </w:tcPr>
          <w:p>
            <w:r>
              <w:rPr>
                <w:sz w:val="18"/>
              </w:rPr>
              <w:t>8×5 m</w:t>
            </w:r>
          </w:p>
        </w:tc>
        <w:tc>
          <w:tcPr>
            <w:tcW w:type="dxa" w:w="1984"/>
            <w:shd w:val="clear" w:color="auto" w:fill="FFFFFF"/>
            <w:vAlign w:val="center"/>
          </w:tcPr>
          <w:p>
            <w:r>
              <w:rPr>
                <w:sz w:val="18"/>
              </w:rPr>
              <w:t>Brick, self-contained</w:t>
            </w:r>
          </w:p>
        </w:tc>
        <w:tc>
          <w:tcPr>
            <w:tcW w:type="dxa" w:w="2381"/>
            <w:shd w:val="clear" w:color="auto" w:fill="FFFFFF"/>
            <w:vAlign w:val="center"/>
          </w:tcPr>
          <w:p>
            <w:r>
              <w:rPr>
                <w:sz w:val="18"/>
              </w:rPr>
              <w:t>Adjacent to RB</w:t>
            </w:r>
          </w:p>
        </w:tc>
      </w:tr>
      <w:tr>
        <w:tc>
          <w:tcPr>
            <w:tcW w:type="dxa" w:w="850"/>
            <w:shd w:val="clear" w:color="auto" w:fill="F2F2F2"/>
            <w:vAlign w:val="center"/>
          </w:tcPr>
          <w:p>
            <w:r>
              <w:rPr>
                <w:sz w:val="18"/>
              </w:rPr>
              <w:t>CS</w:t>
            </w:r>
          </w:p>
        </w:tc>
        <w:tc>
          <w:tcPr>
            <w:tcW w:type="dxa" w:w="3118"/>
            <w:shd w:val="clear" w:color="auto" w:fill="F2F2F2"/>
            <w:vAlign w:val="center"/>
          </w:tcPr>
          <w:p>
            <w:r>
              <w:rPr>
                <w:sz w:val="18"/>
              </w:rPr>
              <w:t>Chemical &amp; Lubricant Store</w:t>
            </w:r>
          </w:p>
        </w:tc>
        <w:tc>
          <w:tcPr>
            <w:tcW w:type="dxa" w:w="1587"/>
            <w:shd w:val="clear" w:color="auto" w:fill="F2F2F2"/>
            <w:vAlign w:val="center"/>
          </w:tcPr>
          <w:p>
            <w:r>
              <w:rPr>
                <w:sz w:val="18"/>
              </w:rPr>
              <w:t>6×4 m</w:t>
            </w:r>
          </w:p>
        </w:tc>
        <w:tc>
          <w:tcPr>
            <w:tcW w:type="dxa" w:w="1984"/>
            <w:shd w:val="clear" w:color="auto" w:fill="F2F2F2"/>
            <w:vAlign w:val="center"/>
          </w:tcPr>
          <w:p>
            <w:r>
              <w:rPr>
                <w:sz w:val="18"/>
              </w:rPr>
              <w:t>Steel, bunded slab</w:t>
            </w:r>
          </w:p>
        </w:tc>
        <w:tc>
          <w:tcPr>
            <w:tcW w:type="dxa" w:w="2381"/>
            <w:shd w:val="clear" w:color="auto" w:fill="F2F2F2"/>
            <w:vAlign w:val="center"/>
          </w:tcPr>
          <w:p>
            <w:r>
              <w:rPr>
                <w:sz w:val="18"/>
              </w:rPr>
              <w:t>15 m from PL</w:t>
            </w:r>
          </w:p>
        </w:tc>
      </w:tr>
      <w:tr>
        <w:tc>
          <w:tcPr>
            <w:tcW w:type="dxa" w:w="850"/>
            <w:shd w:val="clear" w:color="auto" w:fill="FFFFFF"/>
            <w:vAlign w:val="center"/>
          </w:tcPr>
          <w:p>
            <w:r>
              <w:rPr>
                <w:sz w:val="18"/>
              </w:rPr>
              <w:t>IB</w:t>
            </w:r>
          </w:p>
        </w:tc>
        <w:tc>
          <w:tcPr>
            <w:tcW w:type="dxa" w:w="3118"/>
            <w:shd w:val="clear" w:color="auto" w:fill="FFFFFF"/>
            <w:vAlign w:val="center"/>
          </w:tcPr>
          <w:p>
            <w:r>
              <w:rPr>
                <w:sz w:val="18"/>
              </w:rPr>
              <w:t>DAFF Inspection Room</w:t>
            </w:r>
          </w:p>
        </w:tc>
        <w:tc>
          <w:tcPr>
            <w:tcW w:type="dxa" w:w="1587"/>
            <w:shd w:val="clear" w:color="auto" w:fill="FFFFFF"/>
            <w:vAlign w:val="center"/>
          </w:tcPr>
          <w:p>
            <w:r>
              <w:rPr>
                <w:sz w:val="18"/>
              </w:rPr>
              <w:t>6×5 m</w:t>
            </w:r>
          </w:p>
        </w:tc>
        <w:tc>
          <w:tcPr>
            <w:tcW w:type="dxa" w:w="1984"/>
            <w:shd w:val="clear" w:color="auto" w:fill="FFFFFF"/>
            <w:vAlign w:val="center"/>
          </w:tcPr>
          <w:p>
            <w:r>
              <w:rPr>
                <w:sz w:val="18"/>
              </w:rPr>
              <w:t>Enclosed steel room</w:t>
            </w:r>
          </w:p>
        </w:tc>
        <w:tc>
          <w:tcPr>
            <w:tcW w:type="dxa" w:w="2381"/>
            <w:shd w:val="clear" w:color="auto" w:fill="FFFFFF"/>
            <w:vAlign w:val="center"/>
          </w:tcPr>
          <w:p>
            <w:r>
              <w:rPr>
                <w:sz w:val="18"/>
              </w:rPr>
              <w:t>Between RB and PL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Grain augers</w:t>
            </w:r>
          </w:p>
        </w:tc>
        <w:tc>
          <w:tcPr>
            <w:tcW w:type="dxa" w:w="1984"/>
            <w:shd w:val="clear" w:color="auto" w:fill="FFFFFF"/>
            <w:vAlign w:val="center"/>
          </w:tcPr>
          <w:p>
            <w:r>
              <w:rPr>
                <w:sz w:val="18"/>
              </w:rPr>
              <w:t>×4</w:t>
            </w:r>
          </w:p>
        </w:tc>
        <w:tc>
          <w:tcPr>
            <w:tcW w:type="dxa" w:w="4252"/>
            <w:shd w:val="clear" w:color="auto" w:fill="FFFFFF"/>
            <w:vAlign w:val="center"/>
          </w:tcPr>
          <w:p>
            <w:r>
              <w:rPr>
                <w:sz w:val="18"/>
              </w:rPr>
              <w:t>Transfer and load-out</w:t>
            </w:r>
          </w:p>
        </w:tc>
      </w:tr>
      <w:tr>
        <w:tc>
          <w:tcPr>
            <w:tcW w:type="dxa" w:w="3685"/>
            <w:shd w:val="clear" w:color="auto" w:fill="F2F2F2"/>
            <w:vAlign w:val="center"/>
          </w:tcPr>
          <w:p>
            <w:r>
              <w:rPr>
                <w:sz w:val="18"/>
              </w:rPr>
              <w:t>Belt conveyors (sealed)</w:t>
            </w:r>
          </w:p>
        </w:tc>
        <w:tc>
          <w:tcPr>
            <w:tcW w:type="dxa" w:w="1984"/>
            <w:shd w:val="clear" w:color="auto" w:fill="F2F2F2"/>
            <w:vAlign w:val="center"/>
          </w:tcPr>
          <w:p>
            <w:r>
              <w:rPr>
                <w:sz w:val="18"/>
              </w:rPr>
              <w:t>×2</w:t>
            </w:r>
          </w:p>
        </w:tc>
        <w:tc>
          <w:tcPr>
            <w:tcW w:type="dxa" w:w="4252"/>
            <w:shd w:val="clear" w:color="auto" w:fill="F2F2F2"/>
            <w:vAlign w:val="center"/>
          </w:tcPr>
          <w:p>
            <w:r>
              <w:rPr>
                <w:sz w:val="18"/>
              </w:rPr>
              <w:t>Receival to storage</w:t>
            </w:r>
          </w:p>
        </w:tc>
      </w:tr>
      <w:tr>
        <w:tc>
          <w:tcPr>
            <w:tcW w:type="dxa" w:w="3685"/>
            <w:shd w:val="clear" w:color="auto" w:fill="FFFFFF"/>
            <w:vAlign w:val="center"/>
          </w:tcPr>
          <w:p>
            <w:r>
              <w:rPr>
                <w:sz w:val="18"/>
              </w:rPr>
              <w:t>Continuous-flow dryer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Moisture conditioning</w:t>
            </w:r>
          </w:p>
        </w:tc>
      </w:tr>
      <w:tr>
        <w:tc>
          <w:tcPr>
            <w:tcW w:type="dxa" w:w="3685"/>
            <w:shd w:val="clear" w:color="auto" w:fill="F2F2F2"/>
            <w:vAlign w:val="center"/>
          </w:tcPr>
          <w:p>
            <w:r>
              <w:rPr>
                <w:sz w:val="18"/>
              </w:rPr>
              <w:t>Weighbridge system</w:t>
            </w:r>
          </w:p>
        </w:tc>
        <w:tc>
          <w:tcPr>
            <w:tcW w:type="dxa" w:w="1984"/>
            <w:shd w:val="clear" w:color="auto" w:fill="F2F2F2"/>
            <w:vAlign w:val="center"/>
          </w:tcPr>
          <w:p>
            <w:r>
              <w:rPr>
                <w:sz w:val="18"/>
              </w:rPr>
              <w:t>80 t rated</w:t>
            </w:r>
          </w:p>
        </w:tc>
        <w:tc>
          <w:tcPr>
            <w:tcW w:type="dxa" w:w="4252"/>
            <w:shd w:val="clear" w:color="auto" w:fill="F2F2F2"/>
            <w:vAlign w:val="center"/>
          </w:tcPr>
          <w:p>
            <w:r>
              <w:rPr>
                <w:sz w:val="18"/>
              </w:rPr>
              <w:t>Inbound/outbound verification</w:t>
            </w:r>
          </w:p>
        </w:tc>
      </w:tr>
      <w:tr>
        <w:tc>
          <w:tcPr>
            <w:tcW w:type="dxa" w:w="3685"/>
            <w:shd w:val="clear" w:color="auto" w:fill="FFFFFF"/>
            <w:vAlign w:val="center"/>
          </w:tcPr>
          <w:p>
            <w:r>
              <w:rPr>
                <w:sz w:val="18"/>
              </w:rPr>
              <w:t>Grain quality analyser (NIR)</w:t>
            </w:r>
          </w:p>
        </w:tc>
        <w:tc>
          <w:tcPr>
            <w:tcW w:type="dxa" w:w="1984"/>
            <w:shd w:val="clear" w:color="auto" w:fill="FFFFFF"/>
            <w:vAlign w:val="center"/>
          </w:tcPr>
          <w:p>
            <w:r>
              <w:rPr>
                <w:sz w:val="18"/>
              </w:rPr>
              <w:t>In-line</w:t>
            </w:r>
          </w:p>
        </w:tc>
        <w:tc>
          <w:tcPr>
            <w:tcW w:type="dxa" w:w="4252"/>
            <w:shd w:val="clear" w:color="auto" w:fill="FFFFFF"/>
            <w:vAlign w:val="center"/>
          </w:tcPr>
          <w:p>
            <w:r>
              <w:rPr>
                <w:sz w:val="18"/>
              </w:rPr>
              <w:t>Protein, moisture, oil testing</w:t>
            </w:r>
          </w:p>
        </w:tc>
      </w:tr>
      <w:tr>
        <w:tc>
          <w:tcPr>
            <w:tcW w:type="dxa" w:w="3685"/>
            <w:shd w:val="clear" w:color="auto" w:fill="F2F2F2"/>
            <w:vAlign w:val="center"/>
          </w:tcPr>
          <w:p>
            <w:r>
              <w:rPr>
                <w:sz w:val="18"/>
              </w:rPr>
              <w:t>Rotary screen cleaner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Pre-storage cleaning</w:t>
            </w:r>
          </w:p>
        </w:tc>
      </w:tr>
      <w:tr>
        <w:tc>
          <w:tcPr>
            <w:tcW w:type="dxa" w:w="3685"/>
            <w:shd w:val="clear" w:color="auto" w:fill="FFFFFF"/>
            <w:vAlign w:val="center"/>
          </w:tcPr>
          <w:p>
            <w:r>
              <w:rPr>
                <w:sz w:val="18"/>
              </w:rPr>
              <w:t>In-line belt sampler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Representative lot sampling</w:t>
            </w:r>
          </w:p>
        </w:tc>
      </w:tr>
    </w:tbl>
    <w:p/>
    <w:p>
      <w:pPr>
        <w:pStyle w:val="Heading1"/>
      </w:pPr>
      <w:r>
        <w:rPr>
          <w:color w:val="1F497D"/>
        </w:rPr>
        <w:t>4.  FACILITIES AND SERQLDES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Barley.</w:t>
      </w:r>
    </w:p>
    <w:p>
      <w:pPr>
        <w:pStyle w:val="Heading2"/>
      </w:pPr>
      <w:r>
        <w:t>4.2  Lighting (C2)</w:t>
      </w:r>
    </w:p>
    <w:p>
      <w:r>
        <w:rPr>
          <w:b w:val="0"/>
          <w:i w:val="0"/>
          <w:sz w:val="20"/>
        </w:rPr>
        <w:t>Fluorescent battens (T8, 36 W single tube) installed when the facility was built in 2009. Approximately 52% of tubes have failed and have not been replaced. Functioning fittings provide an estimated 80–150 lux in the grading and packing area. After-hours work uses portable LED work lights provided by operators.</w:t>
      </w:r>
    </w:p>
    <w:p>
      <w:pPr>
        <w:pStyle w:val="Heading2"/>
      </w:pPr>
      <w:r>
        <w:t>4.3  Handwashing and Toilet Facilities (C3)</w:t>
      </w:r>
    </w:p>
    <w:p>
      <w:r>
        <w:rPr>
          <w:b w:val="0"/>
          <w:i w:val="0"/>
          <w:sz w:val="20"/>
        </w:rPr>
        <w:t>Amenities block within 20 m of processing floor: 1 toilet, 1 hand basin hot/cold water, liquid soap, paper towels. Separate no-touch basin and hand sanitiser dispenser installed at cool store/packing area access point, as required by site hygiene protocol.</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All product-contact and grain-contact surfaces are smooth, non-porous and cleanable: 3-coat epoxy floor system; FRP (fibreglass-reinforced panel) wall linings to 2.7 m; stainless-steel equipment internals. Conveyor and auger housings have hinged access panels. Full washdown of product-contact surfaces required between commodity lots per cleaning SOP.</w:t>
      </w:r>
    </w:p>
    <w:p>
      <w:pPr>
        <w:pStyle w:val="Heading2"/>
      </w:pPr>
      <w:r>
        <w:t>5.2  Contamination and Pest Harbourage Minimisation (C5)</w:t>
      </w:r>
    </w:p>
    <w:p>
      <w:r>
        <w:rPr>
          <w:b w:val="0"/>
          <w:i w:val="0"/>
          <w:sz w:val="20"/>
        </w:rPr>
        <w:t>Design features minimising pest entry: smooth wall surfaces; all roof-wall junctions factory-sealed; cable/pipe penetrations sealed with food-grade silicone; 6 mm mesh on all fixed ventilation louvres; self-closing personnel doors with magnetic seals; roller doors serviced annually to maintain threshold seal integrity; no open drainage channels.</w:t>
      </w:r>
    </w:p>
    <w:p>
      <w:pPr>
        <w:pStyle w:val="Heading2"/>
      </w:pPr>
      <w:r>
        <w:t>5.3  Waste Disposal Design (C6)</w:t>
      </w:r>
    </w:p>
    <w:p>
      <w:r>
        <w:rPr>
          <w:b w:val="0"/>
          <w:i w:val="0"/>
          <w:sz w:val="20"/>
        </w:rPr>
        <w:t>Contained waste management infrastructure: liquid drains to bunded sump (2000 L) outside the processing building; solid waste in sealed wheeled bins with lids; external waste bay roofed and bunded on three sides with 300 mm concrete kerb and sealed slab. Organic waste composted in covered bay 30 m from processing. No open waste storage areas.</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Establishment Waste Management Plan (EWMP v3.0, reviewed April 2025): details procedures for all waste streams — product spillage, packaging, liquid washdown, chemical containers and dust. Scheduled tasks on daily operations checklist, signed off by shift supervisor. Records retained 3 years minimum.</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Grain spillage</w:t>
            </w:r>
          </w:p>
        </w:tc>
        <w:tc>
          <w:tcPr>
            <w:tcW w:type="dxa" w:w="4252"/>
            <w:shd w:val="clear" w:color="auto" w:fill="FFFFFF"/>
            <w:vAlign w:val="center"/>
          </w:tcPr>
          <w:p>
            <w:r>
              <w:rPr>
                <w:sz w:val="18"/>
              </w:rPr>
              <w:t>Sealed collection bins under auger/conveyor discharge</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Grain dust</w:t>
            </w:r>
          </w:p>
        </w:tc>
        <w:tc>
          <w:tcPr>
            <w:tcW w:type="dxa" w:w="4252"/>
            <w:shd w:val="clear" w:color="auto" w:fill="F2F2F2"/>
            <w:vAlign w:val="center"/>
          </w:tcPr>
          <w:p>
            <w:r>
              <w:rPr>
                <w:sz w:val="18"/>
              </w:rPr>
              <w:t>Cyclone separator → sealed collection bags</w:t>
            </w:r>
          </w:p>
        </w:tc>
        <w:tc>
          <w:tcPr>
            <w:tcW w:type="dxa" w:w="2835"/>
            <w:shd w:val="clear" w:color="auto" w:fill="F2F2F2"/>
            <w:vAlign w:val="center"/>
          </w:tcPr>
          <w:p>
            <w:r>
              <w:rPr>
                <w:sz w:val="18"/>
              </w:rPr>
              <w:t>Fortnightly bag disposal</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bunded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Compressor baler in waste bay</w:t>
            </w:r>
          </w:p>
        </w:tc>
        <w:tc>
          <w:tcPr>
            <w:tcW w:type="dxa" w:w="2835"/>
            <w:shd w:val="clear" w:color="auto" w:fill="F2F2F2"/>
            <w:vAlign w:val="center"/>
          </w:tcPr>
          <w:p>
            <w:r>
              <w:rPr>
                <w:sz w:val="18"/>
              </w:rPr>
              <w:t>Monthly contractor collection</w:t>
            </w:r>
          </w:p>
        </w:tc>
      </w:tr>
      <w:tr>
        <w:tc>
          <w:tcPr>
            <w:tcW w:type="dxa" w:w="2835"/>
            <w:shd w:val="clear" w:color="auto" w:fill="FFFFFF"/>
            <w:vAlign w:val="center"/>
          </w:tcPr>
          <w:p>
            <w:r>
              <w:rPr>
                <w:sz w:val="18"/>
              </w:rPr>
              <w:t>Chemical containers</w:t>
            </w:r>
          </w:p>
        </w:tc>
        <w:tc>
          <w:tcPr>
            <w:tcW w:type="dxa" w:w="4252"/>
            <w:shd w:val="clear" w:color="auto" w:fill="FFFFFF"/>
            <w:vAlign w:val="center"/>
          </w:tcPr>
          <w:p>
            <w:r>
              <w:rPr>
                <w:sz w:val="18"/>
              </w:rPr>
              <w:t>Labelled, sealed store</w:t>
            </w:r>
          </w:p>
        </w:tc>
        <w:tc>
          <w:tcPr>
            <w:tcW w:type="dxa" w:w="2835"/>
            <w:shd w:val="clear" w:color="auto" w:fill="FFFFFF"/>
            <w:vAlign w:val="center"/>
          </w:tcPr>
          <w:p>
            <w:r>
              <w:rPr>
                <w:sz w:val="18"/>
              </w:rPr>
              <w:t>Licensed waste contractor quarterly</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The establishment is maintained in a clean and hygienic condition appropriate for export of Barley. All product-contact surfaces are cleaned between commodity lots using the documented cleaning procedure. Non-product-contact surfaces cleaned on a 8-weekly schedule. No hygiene deficiencies at most recent inspection.</w:t>
      </w:r>
    </w:p>
    <w:p>
      <w:pPr>
        <w:pStyle w:val="Heading2"/>
      </w:pPr>
      <w:r>
        <w:t>7.2  Pest Condition (C9)</w:t>
      </w:r>
    </w:p>
    <w:p>
      <w:r>
        <w:rPr>
          <w:b w:val="0"/>
          <w:i w:val="0"/>
          <w:sz w:val="20"/>
        </w:rPr>
        <w:t>Pest condition assessment: Rodents: nil evidence in 6 months of monitoring. Grain insects: probe samples from all storage negative for live insects. Birds: no evidence of access to grain-contact areas. Last licensed fumigation: November 2024.</w:t>
      </w:r>
    </w:p>
    <w:p/>
    <w:p>
      <w:pPr>
        <w:pStyle w:val="Heading1"/>
      </w:pPr>
      <w:r>
        <w:rPr>
          <w:color w:val="1F497D"/>
        </w:rPr>
        <w:t>8.  SERQLDES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CitiPower/Powercor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water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Gordon Spence</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8 February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