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Condamine Grain Co</w:t>
            </w:r>
          </w:p>
        </w:tc>
      </w:tr>
      <w:tr>
        <w:tc>
          <w:tcPr>
            <w:tcW w:type="dxa" w:w="4536"/>
            <w:shd w:val="clear" w:color="auto" w:fill="1F497D"/>
            <w:vAlign w:val="center"/>
          </w:tcPr>
          <w:p>
            <w:r>
              <w:rPr>
                <w:b/>
                <w:color w:val="FFFFFF"/>
                <w:sz w:val="18"/>
              </w:rPr>
              <w:t>RE Number</w:t>
            </w:r>
          </w:p>
        </w:tc>
        <w:tc>
          <w:tcPr>
            <w:tcW w:type="dxa" w:w="4536"/>
          </w:tcPr>
          <w:p>
            <w:r>
              <w:rPr>
                <w:sz w:val="18"/>
              </w:rPr>
              <w:t>RE-QLD-2022-0091</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13 Cunningham Highway, Warwick QLD 4370</w:t>
            </w:r>
          </w:p>
        </w:tc>
      </w:tr>
      <w:tr>
        <w:tc>
          <w:tcPr>
            <w:tcW w:type="dxa" w:w="4536"/>
            <w:shd w:val="clear" w:color="auto" w:fill="1F497D"/>
            <w:vAlign w:val="center"/>
          </w:tcPr>
          <w:p>
            <w:r>
              <w:rPr>
                <w:b/>
                <w:color w:val="FFFFFF"/>
                <w:sz w:val="18"/>
              </w:rPr>
              <w:t>Registered Commodity</w:t>
            </w:r>
          </w:p>
        </w:tc>
        <w:tc>
          <w:tcPr>
            <w:tcW w:type="dxa" w:w="4536"/>
          </w:tcPr>
          <w:p>
            <w:r>
              <w:rPr>
                <w:sz w:val="18"/>
              </w:rPr>
              <w:t>Lentils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Wendy Carr</w:t>
            </w:r>
          </w:p>
        </w:tc>
      </w:tr>
      <w:tr>
        <w:tc>
          <w:tcPr>
            <w:tcW w:type="dxa" w:w="4536"/>
            <w:shd w:val="clear" w:color="auto" w:fill="1F497D"/>
            <w:vAlign w:val="center"/>
          </w:tcPr>
          <w:p>
            <w:r>
              <w:rPr>
                <w:b/>
                <w:color w:val="FFFFFF"/>
                <w:sz w:val="18"/>
              </w:rPr>
              <w:t>Property Area</w:t>
            </w:r>
          </w:p>
        </w:tc>
        <w:tc>
          <w:tcPr>
            <w:tcW w:type="dxa" w:w="4536"/>
          </w:tcPr>
          <w:p>
            <w:r>
              <w:rPr>
                <w:sz w:val="18"/>
              </w:rPr>
              <w:t>145.0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9 February 2025</w:t>
            </w:r>
          </w:p>
        </w:tc>
      </w:tr>
      <w:tr>
        <w:tc>
          <w:tcPr>
            <w:tcW w:type="dxa" w:w="4536"/>
            <w:shd w:val="clear" w:color="auto" w:fill="1F497D"/>
            <w:vAlign w:val="center"/>
          </w:tcPr>
          <w:p>
            <w:r>
              <w:rPr>
                <w:b/>
                <w:color w:val="FFFFFF"/>
                <w:sz w:val="18"/>
              </w:rPr>
              <w:t>Next Review</w:t>
            </w:r>
          </w:p>
        </w:tc>
        <w:tc>
          <w:tcPr>
            <w:tcW w:type="dxa" w:w="4536"/>
          </w:tcPr>
          <w:p>
            <w:r>
              <w:rPr>
                <w:sz w:val="18"/>
              </w:rPr>
              <w:t>9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Hygiene and cleaning requirements are communicated to staff verbally during shift briefings and annual induction training. Detailed written procedures are maintained by the manager and provided to staff on request.</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Lentils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Wendy Carr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All processing areas</w:t>
            </w:r>
          </w:p>
        </w:tc>
        <w:tc>
          <w:tcPr>
            <w:tcW w:type="dxa" w:w="1512"/>
            <w:shd w:val="clear" w:color="auto" w:fill="FFFFFF"/>
            <w:vAlign w:val="top"/>
            <w:tcW w:w="1417" w:type="dxa"/>
          </w:tcPr>
          <w:p>
            <w:r>
              <w:rPr>
                <w:sz w:val="18"/>
              </w:rPr>
              <w:t>As directed by supervisor</w:t>
            </w:r>
          </w:p>
        </w:tc>
        <w:tc>
          <w:tcPr>
            <w:tcW w:type="dxa" w:w="1512"/>
            <w:shd w:val="clear" w:color="auto" w:fill="FFFFFF"/>
            <w:vAlign w:val="top"/>
            <w:tcW w:w="3118" w:type="dxa"/>
          </w:tcPr>
          <w:p>
            <w:r>
              <w:rPr>
                <w:sz w:val="18"/>
              </w:rPr>
              <w:t>Verbal instructions issued to staff during shift. Refer to supervisor for current requirements.</w:t>
            </w:r>
          </w:p>
        </w:tc>
        <w:tc>
          <w:tcPr>
            <w:tcW w:type="dxa" w:w="1512"/>
            <w:shd w:val="clear" w:color="auto" w:fill="FFFFFF"/>
            <w:vAlign w:val="top"/>
            <w:tcW w:w="1814" w:type="dxa"/>
          </w:tcPr>
          <w:p>
            <w:r>
              <w:rPr>
                <w:sz w:val="18"/>
              </w:rPr>
              <w:t>As needed</w:t>
            </w:r>
          </w:p>
        </w:tc>
        <w:tc>
          <w:tcPr>
            <w:tcW w:type="dxa" w:w="1512"/>
            <w:shd w:val="clear" w:color="auto" w:fill="FFFFFF"/>
            <w:vAlign w:val="top"/>
            <w:tcW w:w="1587" w:type="dxa"/>
          </w:tcPr>
          <w:p>
            <w:r>
              <w:rPr>
                <w:sz w:val="18"/>
              </w:rPr>
              <w:t>Assigned staff</w:t>
            </w:r>
          </w:p>
        </w:tc>
        <w:tc>
          <w:tcPr>
            <w:tcW w:type="dxa" w:w="1512"/>
            <w:shd w:val="clear" w:color="auto" w:fill="FFFFFF"/>
            <w:vAlign w:val="top"/>
            <w:tcW w:w="1530" w:type="dxa"/>
          </w:tcPr>
          <w:p>
            <w:r>
              <w:rPr>
                <w:sz w:val="18"/>
              </w:rPr>
              <w:t>Verbal confirmation to supervisor</w:t>
            </w:r>
          </w:p>
        </w:tc>
      </w:tr>
    </w:tbl>
    <w:p/>
    <w:p>
      <w:pPr>
        <w:pStyle w:val="Heading1"/>
      </w:pPr>
      <w:r>
        <w:rPr>
          <w:color w:val="1F497D"/>
        </w:rPr>
        <w:t>5.  AREA-SPECIFIC CLEANING PROCEDURES (SOPs)</w:t>
      </w:r>
    </w:p>
    <w:p>
      <w:r>
        <w:rPr>
          <w:i/>
          <w:color w:val="555555"/>
          <w:sz w:val="18"/>
        </w:rPr>
        <w:t>Detailed step-by-step procedures for each area of the establishment</w:t>
      </w:r>
    </w:p>
    <w:p/>
    <w:p>
      <w:r>
        <w:rPr>
          <w:b w:val="0"/>
          <w:i w:val="0"/>
          <w:sz w:val="20"/>
        </w:rPr>
        <w:t>Detailed area procedures are provided verbally by the supervisor or are contained in the General Hygiene Manual.</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Condamine Grain Co completed on 9 February 2025. All areas assessed as compliant with the hygiene standards required for the export of Lentils.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Wendy Carr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9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9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