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Capricorn Coast Grain</w:t>
            </w:r>
          </w:p>
        </w:tc>
      </w:tr>
      <w:tr>
        <w:tc>
          <w:tcPr>
            <w:tcW w:type="dxa" w:w="3118"/>
            <w:shd w:val="clear" w:color="auto" w:fill="DCE6F1"/>
            <w:vAlign w:val="center"/>
          </w:tcPr>
          <w:p>
            <w:r>
              <w:rPr>
                <w:b/>
                <w:sz w:val="18"/>
              </w:rPr>
              <w:t>RE Number</w:t>
            </w:r>
          </w:p>
        </w:tc>
        <w:tc>
          <w:tcPr>
            <w:tcW w:type="dxa" w:w="6236"/>
            <w:vAlign w:val="center"/>
          </w:tcPr>
          <w:p>
            <w:r>
              <w:rPr>
                <w:sz w:val="18"/>
              </w:rPr>
              <w:t>RE-QLD-2022-0144</w:t>
            </w:r>
          </w:p>
        </w:tc>
      </w:tr>
      <w:tr>
        <w:tc>
          <w:tcPr>
            <w:tcW w:type="dxa" w:w="3118"/>
            <w:shd w:val="clear" w:color="auto" w:fill="DCE6F1"/>
            <w:vAlign w:val="center"/>
          </w:tcPr>
          <w:p>
            <w:r>
              <w:rPr>
                <w:b/>
                <w:sz w:val="18"/>
              </w:rPr>
              <w:t>State / Territory</w:t>
            </w:r>
          </w:p>
        </w:tc>
        <w:tc>
          <w:tcPr>
            <w:tcW w:type="dxa" w:w="6236"/>
            <w:vAlign w:val="center"/>
          </w:tcPr>
          <w:p>
            <w:r>
              <w:rPr>
                <w:sz w:val="18"/>
              </w:rPr>
              <w:t>QLD</w:t>
            </w:r>
          </w:p>
        </w:tc>
      </w:tr>
      <w:tr>
        <w:tc>
          <w:tcPr>
            <w:tcW w:type="dxa" w:w="3118"/>
            <w:shd w:val="clear" w:color="auto" w:fill="DCE6F1"/>
            <w:vAlign w:val="center"/>
          </w:tcPr>
          <w:p>
            <w:r>
              <w:rPr>
                <w:b/>
                <w:sz w:val="18"/>
              </w:rPr>
              <w:t>Property Address</w:t>
            </w:r>
          </w:p>
        </w:tc>
        <w:tc>
          <w:tcPr>
            <w:tcW w:type="dxa" w:w="6236"/>
            <w:vAlign w:val="center"/>
          </w:tcPr>
          <w:p>
            <w:r>
              <w:rPr>
                <w:sz w:val="18"/>
              </w:rPr>
              <w:t>18 Rockhampton Road, Yeppoon QLD 4703</w:t>
            </w:r>
          </w:p>
        </w:tc>
      </w:tr>
      <w:tr>
        <w:tc>
          <w:tcPr>
            <w:tcW w:type="dxa" w:w="3118"/>
            <w:shd w:val="clear" w:color="auto" w:fill="DCE6F1"/>
            <w:vAlign w:val="center"/>
          </w:tcPr>
          <w:p>
            <w:r>
              <w:rPr>
                <w:b/>
                <w:sz w:val="18"/>
              </w:rPr>
              <w:t>Registered Commodity</w:t>
            </w:r>
          </w:p>
        </w:tc>
        <w:tc>
          <w:tcPr>
            <w:tcW w:type="dxa" w:w="6236"/>
            <w:vAlign w:val="center"/>
          </w:tcPr>
          <w:p>
            <w:r>
              <w:rPr>
                <w:sz w:val="18"/>
              </w:rPr>
              <w:t>Cotton</w:t>
            </w:r>
          </w:p>
        </w:tc>
      </w:tr>
      <w:tr>
        <w:tc>
          <w:tcPr>
            <w:tcW w:type="dxa" w:w="3118"/>
            <w:shd w:val="clear" w:color="auto" w:fill="DCE6F1"/>
            <w:vAlign w:val="center"/>
          </w:tcPr>
          <w:p>
            <w:r>
              <w:rPr>
                <w:b/>
                <w:sz w:val="18"/>
              </w:rPr>
              <w:t>Responsible Officer</w:t>
            </w:r>
          </w:p>
        </w:tc>
        <w:tc>
          <w:tcPr>
            <w:tcW w:type="dxa" w:w="6236"/>
            <w:vAlign w:val="center"/>
          </w:tcPr>
          <w:p>
            <w:r>
              <w:rPr>
                <w:sz w:val="18"/>
              </w:rPr>
              <w:t>Steve Larson</w:t>
            </w:r>
          </w:p>
        </w:tc>
      </w:tr>
      <w:tr>
        <w:tc>
          <w:tcPr>
            <w:tcW w:type="dxa" w:w="3118"/>
            <w:shd w:val="clear" w:color="auto" w:fill="DCE6F1"/>
            <w:vAlign w:val="center"/>
          </w:tcPr>
          <w:p>
            <w:r>
              <w:rPr>
                <w:b/>
                <w:sz w:val="18"/>
              </w:rPr>
              <w:t>Property Area</w:t>
            </w:r>
          </w:p>
        </w:tc>
        <w:tc>
          <w:tcPr>
            <w:tcW w:type="dxa" w:w="6236"/>
            <w:vAlign w:val="center"/>
          </w:tcPr>
          <w:p>
            <w:r>
              <w:rPr>
                <w:sz w:val="18"/>
              </w:rPr>
              <w:t>4200.0 ha</w:t>
            </w:r>
          </w:p>
        </w:tc>
      </w:tr>
      <w:tr>
        <w:tc>
          <w:tcPr>
            <w:tcW w:type="dxa" w:w="3118"/>
            <w:shd w:val="clear" w:color="auto" w:fill="DCE6F1"/>
            <w:vAlign w:val="center"/>
          </w:tcPr>
          <w:p>
            <w:r>
              <w:rPr>
                <w:b/>
                <w:sz w:val="18"/>
              </w:rPr>
              <w:t>Year Established</w:t>
            </w:r>
          </w:p>
        </w:tc>
        <w:tc>
          <w:tcPr>
            <w:tcW w:type="dxa" w:w="6236"/>
            <w:vAlign w:val="center"/>
          </w:tcPr>
          <w:p>
            <w:r>
              <w:rPr>
                <w:sz w:val="18"/>
              </w:rPr>
              <w:t>2012</w:t>
            </w:r>
          </w:p>
        </w:tc>
      </w:tr>
      <w:tr>
        <w:tc>
          <w:tcPr>
            <w:tcW w:type="dxa" w:w="3118"/>
            <w:shd w:val="clear" w:color="auto" w:fill="DCE6F1"/>
            <w:vAlign w:val="center"/>
          </w:tcPr>
          <w:p>
            <w:r>
              <w:rPr>
                <w:b/>
                <w:sz w:val="18"/>
              </w:rPr>
              <w:t>Document Version</w:t>
            </w:r>
          </w:p>
        </w:tc>
        <w:tc>
          <w:tcPr>
            <w:tcW w:type="dxa" w:w="6236"/>
            <w:vAlign w:val="center"/>
          </w:tcPr>
          <w:p>
            <w:r>
              <w:rPr>
                <w:sz w:val="18"/>
              </w:rPr>
              <w:t>2.3</w:t>
            </w:r>
          </w:p>
        </w:tc>
      </w:tr>
      <w:tr>
        <w:tc>
          <w:tcPr>
            <w:tcW w:type="dxa" w:w="3118"/>
            <w:shd w:val="clear" w:color="auto" w:fill="DCE6F1"/>
            <w:vAlign w:val="center"/>
          </w:tcPr>
          <w:p>
            <w:r>
              <w:rPr>
                <w:b/>
                <w:sz w:val="18"/>
              </w:rPr>
              <w:t>Plan Date</w:t>
            </w:r>
          </w:p>
        </w:tc>
        <w:tc>
          <w:tcPr>
            <w:tcW w:type="dxa" w:w="6236"/>
            <w:vAlign w:val="center"/>
          </w:tcPr>
          <w:p>
            <w:r>
              <w:rPr>
                <w:sz w:val="18"/>
              </w:rPr>
              <w:t>12 September 2024</w:t>
            </w:r>
          </w:p>
        </w:tc>
      </w:tr>
      <w:tr>
        <w:tc>
          <w:tcPr>
            <w:tcW w:type="dxa" w:w="3118"/>
            <w:shd w:val="clear" w:color="auto" w:fill="DCE6F1"/>
            <w:vAlign w:val="center"/>
          </w:tcPr>
          <w:p>
            <w:r>
              <w:rPr>
                <w:b/>
                <w:sz w:val="18"/>
              </w:rPr>
              <w:t>Next Review</w:t>
            </w:r>
          </w:p>
        </w:tc>
        <w:tc>
          <w:tcPr>
            <w:tcW w:type="dxa" w:w="6236"/>
            <w:vAlign w:val="center"/>
          </w:tcPr>
          <w:p>
            <w:r>
              <w:rPr>
                <w:sz w:val="18"/>
              </w:rPr>
              <w:t>12 September 2026</w:t>
            </w:r>
          </w:p>
        </w:tc>
      </w:tr>
    </w:tbl>
    <w:p/>
    <w:p>
      <w:pPr>
        <w:pStyle w:val="Heading1"/>
      </w:pPr>
      <w:r>
        <w:rPr>
          <w:color w:val="1F497D"/>
        </w:rPr>
        <w:t>1.  OVERVIEW</w:t>
      </w:r>
    </w:p>
    <w:p>
      <w:r>
        <w:rPr>
          <w:b w:val="0"/>
          <w:i w:val="0"/>
          <w:sz w:val="20"/>
        </w:rPr>
        <w:t>Capricorn Coast Grain is a registered export establishment located at 18 Rockhampton Road, Yeppoon QLD 4703, QLD. The establishment holds RE Number RE-QLD-2022-0144 and is registered to handle and export Cotton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RB</w:t>
            </w:r>
          </w:p>
        </w:tc>
        <w:tc>
          <w:tcPr>
            <w:tcW w:type="dxa" w:w="3118"/>
            <w:shd w:val="clear" w:color="auto" w:fill="FFFFFF"/>
            <w:vAlign w:val="center"/>
          </w:tcPr>
          <w:p>
            <w:r>
              <w:rPr>
                <w:sz w:val="18"/>
              </w:rPr>
              <w:t>Receival &amp; Processing Building</w:t>
            </w:r>
          </w:p>
        </w:tc>
        <w:tc>
          <w:tcPr>
            <w:tcW w:type="dxa" w:w="1587"/>
            <w:shd w:val="clear" w:color="auto" w:fill="FFFFFF"/>
            <w:vAlign w:val="center"/>
          </w:tcPr>
          <w:p>
            <w:r>
              <w:rPr>
                <w:sz w:val="18"/>
              </w:rPr>
              <w:t>60×25 m</w:t>
            </w:r>
          </w:p>
        </w:tc>
        <w:tc>
          <w:tcPr>
            <w:tcW w:type="dxa" w:w="1984"/>
            <w:shd w:val="clear" w:color="auto" w:fill="FFFFFF"/>
            <w:vAlign w:val="center"/>
          </w:tcPr>
          <w:p>
            <w:r>
              <w:rPr>
                <w:sz w:val="18"/>
              </w:rPr>
              <w:t>Steel/concrete</w:t>
            </w:r>
          </w:p>
        </w:tc>
        <w:tc>
          <w:tcPr>
            <w:tcW w:type="dxa" w:w="2381"/>
            <w:shd w:val="clear" w:color="auto" w:fill="FFFFFF"/>
            <w:vAlign w:val="center"/>
          </w:tcPr>
          <w:p>
            <w:r>
              <w:rPr>
                <w:sz w:val="18"/>
              </w:rPr>
              <w:t>Centre of site</w:t>
            </w:r>
          </w:p>
        </w:tc>
      </w:tr>
      <w:tr>
        <w:tc>
          <w:tcPr>
            <w:tcW w:type="dxa" w:w="850"/>
            <w:shd w:val="clear" w:color="auto" w:fill="F2F2F2"/>
            <w:vAlign w:val="center"/>
          </w:tcPr>
          <w:p>
            <w:r>
              <w:rPr>
                <w:sz w:val="18"/>
              </w:rPr>
              <w:t>S1–S8</w:t>
            </w:r>
          </w:p>
        </w:tc>
        <w:tc>
          <w:tcPr>
            <w:tcW w:type="dxa" w:w="3118"/>
            <w:shd w:val="clear" w:color="auto" w:fill="F2F2F2"/>
            <w:vAlign w:val="center"/>
          </w:tcPr>
          <w:p>
            <w:r>
              <w:rPr>
                <w:sz w:val="18"/>
              </w:rPr>
              <w:t>Storage Bins</w:t>
            </w:r>
          </w:p>
        </w:tc>
        <w:tc>
          <w:tcPr>
            <w:tcW w:type="dxa" w:w="1587"/>
            <w:shd w:val="clear" w:color="auto" w:fill="F2F2F2"/>
            <w:vAlign w:val="center"/>
          </w:tcPr>
          <w:p>
            <w:r>
              <w:rPr>
                <w:sz w:val="18"/>
              </w:rPr>
              <w:t>Dia. 14 m</w:t>
            </w:r>
          </w:p>
        </w:tc>
        <w:tc>
          <w:tcPr>
            <w:tcW w:type="dxa" w:w="1984"/>
            <w:shd w:val="clear" w:color="auto" w:fill="F2F2F2"/>
            <w:vAlign w:val="center"/>
          </w:tcPr>
          <w:p>
            <w:r>
              <w:rPr>
                <w:sz w:val="18"/>
              </w:rPr>
              <w:t>Galv. steel</w:t>
            </w:r>
          </w:p>
        </w:tc>
        <w:tc>
          <w:tcPr>
            <w:tcW w:type="dxa" w:w="2381"/>
            <w:shd w:val="clear" w:color="auto" w:fill="F2F2F2"/>
            <w:vAlign w:val="center"/>
          </w:tcPr>
          <w:p>
            <w:r>
              <w:rPr>
                <w:sz w:val="18"/>
              </w:rPr>
              <w:t>South cluster</w:t>
            </w:r>
          </w:p>
        </w:tc>
      </w:tr>
      <w:tr>
        <w:tc>
          <w:tcPr>
            <w:tcW w:type="dxa" w:w="850"/>
            <w:shd w:val="clear" w:color="auto" w:fill="FFFFFF"/>
            <w:vAlign w:val="center"/>
          </w:tcPr>
          <w:p>
            <w:r>
              <w:rPr>
                <w:sz w:val="18"/>
              </w:rPr>
              <w:t>PL</w:t>
            </w:r>
          </w:p>
        </w:tc>
        <w:tc>
          <w:tcPr>
            <w:tcW w:type="dxa" w:w="3118"/>
            <w:shd w:val="clear" w:color="auto" w:fill="FFFFFF"/>
            <w:vAlign w:val="center"/>
          </w:tcPr>
          <w:p>
            <w:r>
              <w:rPr>
                <w:sz w:val="18"/>
              </w:rPr>
              <w:t>Packing &amp; Dispatch Shed</w:t>
            </w:r>
          </w:p>
        </w:tc>
        <w:tc>
          <w:tcPr>
            <w:tcW w:type="dxa" w:w="1587"/>
            <w:shd w:val="clear" w:color="auto" w:fill="FFFFFF"/>
            <w:vAlign w:val="center"/>
          </w:tcPr>
          <w:p>
            <w:r>
              <w:rPr>
                <w:sz w:val="18"/>
              </w:rPr>
              <w:t>35×20 m</w:t>
            </w:r>
          </w:p>
        </w:tc>
        <w:tc>
          <w:tcPr>
            <w:tcW w:type="dxa" w:w="1984"/>
            <w:shd w:val="clear" w:color="auto" w:fill="FFFFFF"/>
            <w:vAlign w:val="center"/>
          </w:tcPr>
          <w:p>
            <w:r>
              <w:rPr>
                <w:sz w:val="18"/>
              </w:rPr>
              <w:t>Tilt-up concrete</w:t>
            </w:r>
          </w:p>
        </w:tc>
        <w:tc>
          <w:tcPr>
            <w:tcW w:type="dxa" w:w="2381"/>
            <w:shd w:val="clear" w:color="auto" w:fill="FFFFFF"/>
            <w:vAlign w:val="center"/>
          </w:tcPr>
          <w:p>
            <w:r>
              <w:rPr>
                <w:sz w:val="18"/>
              </w:rPr>
              <w:t>SE corner</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9×5 m</w:t>
            </w:r>
          </w:p>
        </w:tc>
        <w:tc>
          <w:tcPr>
            <w:tcW w:type="dxa" w:w="1984"/>
            <w:shd w:val="clear" w:color="auto" w:fill="F2F2F2"/>
            <w:vAlign w:val="center"/>
          </w:tcPr>
          <w:p>
            <w:r>
              <w:rPr>
                <w:sz w:val="18"/>
              </w:rPr>
              <w:t>Brick</w:t>
            </w:r>
          </w:p>
        </w:tc>
        <w:tc>
          <w:tcPr>
            <w:tcW w:type="dxa" w:w="2381"/>
            <w:shd w:val="clear" w:color="auto" w:fill="F2F2F2"/>
            <w:vAlign w:val="center"/>
          </w:tcPr>
          <w:p>
            <w:r>
              <w:rPr>
                <w:sz w:val="18"/>
              </w:rPr>
              <w:t>Adjacent RB</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6×4 m</w:t>
            </w:r>
          </w:p>
        </w:tc>
        <w:tc>
          <w:tcPr>
            <w:tcW w:type="dxa" w:w="1984"/>
            <w:shd w:val="clear" w:color="auto" w:fill="FFFFFF"/>
            <w:vAlign w:val="center"/>
          </w:tcPr>
          <w:p>
            <w:r>
              <w:rPr>
                <w:sz w:val="18"/>
              </w:rPr>
              <w:t>Steel, bunded</w:t>
            </w:r>
          </w:p>
        </w:tc>
        <w:tc>
          <w:tcPr>
            <w:tcW w:type="dxa" w:w="2381"/>
            <w:shd w:val="clear" w:color="auto" w:fill="FFFFFF"/>
            <w:vAlign w:val="center"/>
          </w:tcPr>
          <w:p>
            <w:r>
              <w:rPr>
                <w:sz w:val="18"/>
              </w:rPr>
              <w:t>NW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6×5 m</w:t>
            </w:r>
          </w:p>
        </w:tc>
        <w:tc>
          <w:tcPr>
            <w:tcW w:type="dxa" w:w="1984"/>
            <w:shd w:val="clear" w:color="auto" w:fill="F2F2F2"/>
            <w:vAlign w:val="center"/>
          </w:tcPr>
          <w:p>
            <w:r>
              <w:rPr>
                <w:sz w:val="18"/>
              </w:rPr>
              <w:t>Enclosed room</w:t>
            </w:r>
          </w:p>
        </w:tc>
        <w:tc>
          <w:tcPr>
            <w:tcW w:type="dxa" w:w="2381"/>
            <w:shd w:val="clear" w:color="auto" w:fill="F2F2F2"/>
            <w:vAlign w:val="center"/>
          </w:tcPr>
          <w:p>
            <w:r>
              <w:rPr>
                <w:sz w:val="18"/>
              </w:rPr>
              <w:t>RB north end</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Receival pit and elevator</w:t>
            </w:r>
          </w:p>
        </w:tc>
        <w:tc>
          <w:tcPr>
            <w:tcW w:type="dxa" w:w="1984"/>
            <w:shd w:val="clear" w:color="auto" w:fill="FFFFFF"/>
            <w:vAlign w:val="center"/>
          </w:tcPr>
          <w:p>
            <w:r>
              <w:rPr>
                <w:sz w:val="18"/>
              </w:rPr>
              <w:t>1 unit</w:t>
            </w:r>
          </w:p>
        </w:tc>
        <w:tc>
          <w:tcPr>
            <w:tcW w:type="dxa" w:w="4252"/>
            <w:shd w:val="clear" w:color="auto" w:fill="FFFFFF"/>
            <w:vAlign w:val="center"/>
          </w:tcPr>
          <w:p>
            <w:r>
              <w:rPr>
                <w:sz w:val="18"/>
              </w:rPr>
              <w:t>Primary receival</w:t>
            </w:r>
          </w:p>
        </w:tc>
      </w:tr>
      <w:tr>
        <w:tc>
          <w:tcPr>
            <w:tcW w:type="dxa" w:w="3685"/>
            <w:shd w:val="clear" w:color="auto" w:fill="F2F2F2"/>
            <w:vAlign w:val="center"/>
          </w:tcPr>
          <w:p>
            <w:r>
              <w:rPr>
                <w:sz w:val="18"/>
              </w:rPr>
              <w:t>Cleaning and separation unit</w:t>
            </w:r>
          </w:p>
        </w:tc>
        <w:tc>
          <w:tcPr>
            <w:tcW w:type="dxa" w:w="1984"/>
            <w:shd w:val="clear" w:color="auto" w:fill="F2F2F2"/>
            <w:vAlign w:val="center"/>
          </w:tcPr>
          <w:p>
            <w:r>
              <w:rPr>
                <w:sz w:val="18"/>
              </w:rPr>
              <w:t>1 unit</w:t>
            </w:r>
          </w:p>
        </w:tc>
        <w:tc>
          <w:tcPr>
            <w:tcW w:type="dxa" w:w="4252"/>
            <w:shd w:val="clear" w:color="auto" w:fill="F2F2F2"/>
            <w:vAlign w:val="center"/>
          </w:tcPr>
          <w:p>
            <w:r>
              <w:rPr>
                <w:sz w:val="18"/>
              </w:rPr>
              <w:t>Pre-storage cleaning</w:t>
            </w:r>
          </w:p>
        </w:tc>
      </w:tr>
      <w:tr>
        <w:tc>
          <w:tcPr>
            <w:tcW w:type="dxa" w:w="3685"/>
            <w:shd w:val="clear" w:color="auto" w:fill="FFFFFF"/>
            <w:vAlign w:val="center"/>
          </w:tcPr>
          <w:p>
            <w:r>
              <w:rPr>
                <w:sz w:val="18"/>
              </w:rPr>
              <w:t>Drying system</w:t>
            </w:r>
          </w:p>
        </w:tc>
        <w:tc>
          <w:tcPr>
            <w:tcW w:type="dxa" w:w="1984"/>
            <w:shd w:val="clear" w:color="auto" w:fill="FFFFFF"/>
            <w:vAlign w:val="center"/>
          </w:tcPr>
          <w:p>
            <w:r>
              <w:rPr>
                <w:sz w:val="18"/>
              </w:rPr>
              <w:t>continuous-flow</w:t>
            </w:r>
          </w:p>
        </w:tc>
        <w:tc>
          <w:tcPr>
            <w:tcW w:type="dxa" w:w="4252"/>
            <w:shd w:val="clear" w:color="auto" w:fill="FFFFFF"/>
            <w:vAlign w:val="center"/>
          </w:tcPr>
          <w:p>
            <w:r>
              <w:rPr>
                <w:sz w:val="18"/>
              </w:rPr>
              <w:t>Moisture reduction</w:t>
            </w:r>
          </w:p>
        </w:tc>
      </w:tr>
      <w:tr>
        <w:tc>
          <w:tcPr>
            <w:tcW w:type="dxa" w:w="3685"/>
            <w:shd w:val="clear" w:color="auto" w:fill="F2F2F2"/>
            <w:vAlign w:val="center"/>
          </w:tcPr>
          <w:p>
            <w:r>
              <w:rPr>
                <w:sz w:val="18"/>
              </w:rPr>
              <w:t>Packing/bagging line</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preparation</w:t>
            </w:r>
          </w:p>
        </w:tc>
      </w:tr>
      <w:tr>
        <w:tc>
          <w:tcPr>
            <w:tcW w:type="dxa" w:w="3685"/>
            <w:shd w:val="clear" w:color="auto" w:fill="FFFFFF"/>
            <w:vAlign w:val="center"/>
          </w:tcPr>
          <w:p>
            <w:r>
              <w:rPr>
                <w:sz w:val="18"/>
              </w:rPr>
              <w:t>Weighing system</w:t>
            </w:r>
          </w:p>
        </w:tc>
        <w:tc>
          <w:tcPr>
            <w:tcW w:type="dxa" w:w="1984"/>
            <w:shd w:val="clear" w:color="auto" w:fill="FFFFFF"/>
            <w:vAlign w:val="center"/>
          </w:tcPr>
          <w:p>
            <w:r>
              <w:rPr>
                <w:sz w:val="18"/>
              </w:rPr>
              <w:t>In-line</w:t>
            </w:r>
          </w:p>
        </w:tc>
        <w:tc>
          <w:tcPr>
            <w:tcW w:type="dxa" w:w="4252"/>
            <w:shd w:val="clear" w:color="auto" w:fill="FFFFFF"/>
            <w:vAlign w:val="center"/>
          </w:tcPr>
          <w:p>
            <w:r>
              <w:rPr>
                <w:sz w:val="18"/>
              </w:rPr>
              <w:t>Lot verification</w:t>
            </w:r>
          </w:p>
        </w:tc>
      </w:tr>
      <w:tr>
        <w:tc>
          <w:tcPr>
            <w:tcW w:type="dxa" w:w="3685"/>
            <w:shd w:val="clear" w:color="auto" w:fill="F2F2F2"/>
            <w:vAlign w:val="center"/>
          </w:tcPr>
          <w:p>
            <w:r>
              <w:rPr>
                <w:sz w:val="18"/>
              </w:rPr>
              <w:t>In-line quality sampler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Representative sampling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Cotton.</w:t>
      </w:r>
    </w:p>
    <w:p>
      <w:pPr>
        <w:pStyle w:val="Heading2"/>
      </w:pPr>
      <w:r>
        <w:t>4.2  Lighting (C2)</w:t>
      </w:r>
    </w:p>
    <w:p>
      <w:r>
        <w:rPr>
          <w:b w:val="0"/>
          <w:i w:val="0"/>
          <w:sz w:val="20"/>
        </w:rPr>
        <w:t>LED panel lighting installed 2015: 550 lux (processing), 440 lux (storage), 418 lux (load-out). IP65-rated food-grade fittings. Annual lux-level verification by licensed electrician.</w:t>
      </w:r>
    </w:p>
    <w:p>
      <w:pPr>
        <w:pStyle w:val="Heading2"/>
      </w:pPr>
      <w:r>
        <w:t>4.3  Handwashing and Toilet Facilities (C3)</w:t>
      </w:r>
    </w:p>
    <w:p>
      <w:r>
        <w:rPr>
          <w:b w:val="0"/>
          <w:i w:val="0"/>
          <w:sz w:val="20"/>
        </w:rPr>
        <w:t>Amenities block within 20 m of processing floor: 2 toilets, 2 hand basins hot/cold water, liquid soap, paper towels. Separate no-touch basin and hand sanitiser dispenser installed at cool store/packing area access point, as required by site hygiene protocol.</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All product-contact and grain-contact surfaces are smooth, non-porous and cleanable: 3-coat epoxy floor system; FRP (fibreglass-reinforced panel) wall linings to 2.7 m; stainless-steel equipment internals. Conveyor and auger housings have hinged access panels. Full washdown of product-contact surfaces required between commodity lots per cleaning SOP.</w:t>
      </w:r>
    </w:p>
    <w:p>
      <w:pPr>
        <w:pStyle w:val="Heading2"/>
      </w:pPr>
      <w:r>
        <w:t>5.2  Contamination and Pest Harbourage Minimisation (C5)</w:t>
      </w:r>
    </w:p>
    <w:p>
      <w:r>
        <w:rPr>
          <w:b w:val="0"/>
          <w:i w:val="0"/>
          <w:sz w:val="20"/>
        </w:rPr>
        <w:t>The processing shed was purpose-built with full pest exclusion features. Several maintenance items have accumulated: roller door rubber threshold seals on doors 2 and 4 are worn with gaps of 8–22 mm; the cold store access door gasket has delaminated on the hinge side creating a 12 mm gap when closed; one south wall ventilation panel mesh has a 80×40 mm hole. These items are on the maintenance schedule.</w:t>
      </w:r>
    </w:p>
    <w:p>
      <w:pPr>
        <w:pStyle w:val="Heading2"/>
      </w:pPr>
      <w:r>
        <w:t>5.3  Waste Disposal Design (C6)</w:t>
      </w:r>
    </w:p>
    <w:p>
      <w:r>
        <w:rPr>
          <w:b w:val="0"/>
          <w:i w:val="0"/>
          <w:sz w:val="20"/>
        </w:rPr>
        <w:t>Contained waste management infrastructure: liquid drains to bunded sump (4000 L) outside the processing building; solid waste in sealed wheeled bins with lids; external waste bay roofed and bunded on three sides with 300 mm concrete kerb and sealed slab. Organic waste composted in covered bay 50 m from processing. No open waste storage areas.</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Establishment Waste Management Plan (EWMP v3.0, reviewed October 2025): details procedures for all waste streams — product spillage, packaging, liquid washdown, chemical containers and dust. Scheduled tasks on daily operations checklist, signed off by shift supervisor. Records retained 3 years minimum.</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Product waste and screenings</w:t>
            </w:r>
          </w:p>
        </w:tc>
        <w:tc>
          <w:tcPr>
            <w:tcW w:type="dxa" w:w="4252"/>
            <w:shd w:val="clear" w:color="auto" w:fill="FFFFFF"/>
            <w:vAlign w:val="center"/>
          </w:tcPr>
          <w:p>
            <w:r>
              <w:rPr>
                <w:sz w:val="18"/>
              </w:rPr>
              <w:t>Collection hoppers under cleaning unit</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Grain dust</w:t>
            </w:r>
          </w:p>
        </w:tc>
        <w:tc>
          <w:tcPr>
            <w:tcW w:type="dxa" w:w="4252"/>
            <w:shd w:val="clear" w:color="auto" w:fill="F2F2F2"/>
            <w:vAlign w:val="center"/>
          </w:tcPr>
          <w:p>
            <w:r>
              <w:rPr>
                <w:sz w:val="18"/>
              </w:rPr>
              <w:t>Bag filter or cyclone</w:t>
            </w:r>
          </w:p>
        </w:tc>
        <w:tc>
          <w:tcPr>
            <w:tcW w:type="dxa" w:w="2835"/>
            <w:shd w:val="clear" w:color="auto" w:fill="F2F2F2"/>
            <w:vAlign w:val="center"/>
          </w:tcPr>
          <w:p>
            <w:r>
              <w:rPr>
                <w:sz w:val="18"/>
              </w:rPr>
              <w:t>Fortnightly</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Drains → contained sump</w:t>
            </w:r>
          </w:p>
        </w:tc>
        <w:tc>
          <w:tcPr>
            <w:tcW w:type="dxa" w:w="2835"/>
            <w:shd w:val="clear" w:color="auto" w:fill="FFFFFF"/>
            <w:vAlign w:val="center"/>
          </w:tcPr>
          <w:p>
            <w:r>
              <w:rPr>
                <w:sz w:val="18"/>
              </w:rPr>
              <w:t>Weekly</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Covered skip</w:t>
            </w:r>
          </w:p>
        </w:tc>
        <w:tc>
          <w:tcPr>
            <w:tcW w:type="dxa" w:w="2835"/>
            <w:shd w:val="clear" w:color="auto" w:fill="F2F2F2"/>
            <w:vAlign w:val="center"/>
          </w:tcPr>
          <w:p>
            <w:r>
              <w:rPr>
                <w:sz w:val="18"/>
              </w:rPr>
              <w:t>Fortnightly contractor</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The establishment is maintained in a clean and hygienic condition appropriate for export of Cotton. All product-contact surfaces are cleaned between commodity lots using the documented cleaning procedure. Non-product-contact surfaces cleaned on a 4-weekly schedule. No hygiene deficiencies at most recent inspection.</w:t>
      </w:r>
    </w:p>
    <w:p>
      <w:pPr>
        <w:pStyle w:val="Heading2"/>
      </w:pPr>
      <w:r>
        <w:t>7.2  Pest Condition (C9)</w:t>
      </w:r>
    </w:p>
    <w:p>
      <w:r>
        <w:rPr>
          <w:b w:val="0"/>
          <w:i w:val="0"/>
          <w:sz w:val="20"/>
        </w:rPr>
        <w:t>Pest condition assessment: Rodents: nil evidence in 6 months of monitoring. Grain insects: probe samples from all storage negative for live insects. Birds: no evidence of access to grain-contact areas. Last licensed fumigation: December 2024.</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Energex/Ergon Energy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 bore licence — 50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Licensed trade waste — EPA approval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Graded hardstand to retention basin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200 kVA diesel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Steve Larson</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12 September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