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6"/>
        </w:rPr>
        <w:t>PHYTOSANITARY SECURITY PROCEDURE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Condamine Pulse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RE-QLD-2022-0177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QLD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8 Cunningham Highway, Condamine QLD 4416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Onions and Potatoes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Procedure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v4.3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QA Coordinator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Purpose and Scope</w:t>
      </w:r>
    </w:p>
    <w:p>
      <w:r>
        <w:rPr>
          <w:b w:val="0"/>
          <w:i w:val="0"/>
          <w:sz w:val="18"/>
        </w:rPr>
        <w:t>Product movement is recorded by lot/batch from receival through dispatch with unique docket IDs. Security zoning, sealed storage, and pre-load inspections reduce contamination and infestation risk.</w:t>
      </w:r>
    </w:p>
    <w:p>
      <w:pPr>
        <w:spacing w:before="200" w:after="60"/>
      </w:pPr>
      <w:r>
        <w:rPr>
          <w:b/>
          <w:color w:val="1F497D"/>
          <w:sz w:val="26"/>
        </w:rPr>
        <w:t>2. Product Flow and Integrity</w:t>
      </w:r>
    </w:p>
    <w:p>
      <w:r>
        <w:rPr>
          <w:b w:val="0"/>
          <w:i w:val="0"/>
          <w:sz w:val="18"/>
        </w:rPr>
        <w:t>Flow chart omits one alternate transfer path used during peak receival periods.</w:t>
      </w:r>
    </w:p>
    <w:p>
      <w:pPr>
        <w:pStyle w:val="ListBullet"/>
      </w:pPr>
      <w:r>
        <w:rPr>
          <w:sz w:val="18"/>
        </w:rPr>
        <w:t>Receival -&gt; ID Labelling -&gt; Segregated Storage -&gt; Sampling -&gt; Load-out -&gt; Dispatch</w:t>
      </w:r>
    </w:p>
    <w:p>
      <w:pPr>
        <w:pStyle w:val="ListBullet"/>
      </w:pPr>
      <w:r>
        <w:rPr>
          <w:sz w:val="18"/>
        </w:rPr>
        <w:t>Shift-end reconciliation of lot movement, inventory position, and dispatch ledger</w:t>
      </w:r>
    </w:p>
    <w:p>
      <w:pPr>
        <w:pStyle w:val="ListBullet"/>
      </w:pPr>
      <w:r>
        <w:rPr>
          <w:sz w:val="18"/>
        </w:rPr>
        <w:t>Seal issue/register check at dispatch and seal verification on arrival (where applicable)</w:t>
      </w:r>
    </w:p>
    <w:p>
      <w:pPr>
        <w:spacing w:before="200" w:after="60"/>
      </w:pPr>
      <w:r>
        <w:rPr>
          <w:b/>
          <w:color w:val="1F497D"/>
          <w:sz w:val="26"/>
        </w:rPr>
        <w:t>3. Phytosanitary Security Controls</w:t>
      </w:r>
    </w:p>
    <w:p>
      <w:r>
        <w:rPr>
          <w:b w:val="0"/>
          <w:i w:val="0"/>
          <w:sz w:val="18"/>
        </w:rPr>
        <w:t>Dispatch controls include two-person verification of lot identity and seal recording.</w:t>
      </w:r>
    </w:p>
    <w:p>
      <w:pPr>
        <w:spacing w:before="200" w:after="60"/>
      </w:pPr>
      <w:r>
        <w:rPr>
          <w:b/>
          <w:color w:val="1F497D"/>
          <w:sz w:val="26"/>
        </w:rPr>
        <w:t>4. Packaging and Containment</w:t>
      </w:r>
    </w:p>
    <w:p>
      <w:r>
        <w:rPr>
          <w:b w:val="0"/>
          <w:i w:val="0"/>
          <w:sz w:val="18"/>
        </w:rPr>
        <w:t>Occasional packaging QC records are attached to shift summary instead of individual lot files.</w:t>
      </w:r>
    </w:p>
    <w:p>
      <w:pPr>
        <w:spacing w:before="200" w:after="60"/>
      </w:pPr>
      <w:r>
        <w:rPr>
          <w:b/>
          <w:color w:val="1F497D"/>
          <w:sz w:val="26"/>
        </w:rPr>
        <w:t>5. Site Control Sketch (Text)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Receival -&gt; Segregated Storage -&gt; Sampling -&gt; Dispatch Zone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Hold/Reject Area physically separated and clearly identified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Access controls at loading points and seal checkpoint station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