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BAIT STATION MAP</w:t>
      </w:r>
    </w:p>
    <w:p>
      <w:pPr>
        <w:jc w:val="center"/>
      </w:pPr>
      <w:r>
        <w:rPr>
          <w:color w:val="555555"/>
          <w:sz w:val="20"/>
        </w:rPr>
        <w:t>Plant Export Registered Establishment</w:t>
      </w:r>
    </w:p>
    <w:p/>
    <w:tbl>
      <w:tblPr>
        <w:tblStyle w:val="TableGrid"/>
        <w:tblW w:type="auto" w:w="0"/>
        <w:tblLook w:firstColumn="1" w:firstRow="1" w:lastColumn="0" w:lastRow="0" w:noHBand="0" w:noVBand="1" w:val="04A0"/>
      </w:tblPr>
      <w:tblGrid>
        <w:gridCol w:w="4703"/>
        <w:gridCol w:w="4703"/>
      </w:tblGrid>
      <w:tr>
        <w:tc>
          <w:tcPr>
            <w:tcW w:type="dxa" w:w="3118"/>
            <w:shd w:val="clear" w:color="auto" w:fill="DCE6F1"/>
          </w:tcPr>
          <w:p>
            <w:r>
              <w:rPr>
                <w:b/>
                <w:sz w:val="18"/>
              </w:rPr>
              <w:t>Establishment Name</w:t>
            </w:r>
          </w:p>
        </w:tc>
        <w:tc>
          <w:tcPr>
            <w:tcW w:type="dxa" w:w="6236"/>
            <w:shd w:val="clear" w:color="auto" w:fill="F2F2F2"/>
          </w:tcPr>
          <w:p>
            <w:r>
              <w:rPr>
                <w:sz w:val="18"/>
              </w:rPr>
              <w:t>Burnett River Chickpea</w:t>
            </w:r>
          </w:p>
        </w:tc>
      </w:tr>
      <w:tr>
        <w:tc>
          <w:tcPr>
            <w:tcW w:type="dxa" w:w="3118"/>
            <w:shd w:val="clear" w:color="auto" w:fill="DCE6F1"/>
          </w:tcPr>
          <w:p>
            <w:r>
              <w:rPr>
                <w:b/>
                <w:sz w:val="18"/>
              </w:rPr>
              <w:t>RE Number</w:t>
            </w:r>
          </w:p>
        </w:tc>
        <w:tc>
          <w:tcPr>
            <w:tcW w:type="dxa" w:w="6236"/>
          </w:tcPr>
          <w:p>
            <w:r>
              <w:rPr>
                <w:sz w:val="18"/>
              </w:rPr>
              <w:t>RE-QLD-2023-0022</w:t>
            </w:r>
          </w:p>
        </w:tc>
      </w:tr>
      <w:tr>
        <w:tc>
          <w:tcPr>
            <w:tcW w:type="dxa" w:w="3118"/>
            <w:shd w:val="clear" w:color="auto" w:fill="DCE6F1"/>
          </w:tcPr>
          <w:p>
            <w:r>
              <w:rPr>
                <w:b/>
                <w:sz w:val="18"/>
              </w:rPr>
              <w:t>State</w:t>
            </w:r>
          </w:p>
        </w:tc>
        <w:tc>
          <w:tcPr>
            <w:tcW w:type="dxa" w:w="6236"/>
            <w:shd w:val="clear" w:color="auto" w:fill="F2F2F2"/>
          </w:tcPr>
          <w:p>
            <w:r>
              <w:rPr>
                <w:sz w:val="18"/>
              </w:rPr>
              <w:t>QLD</w:t>
            </w:r>
          </w:p>
        </w:tc>
      </w:tr>
      <w:tr>
        <w:tc>
          <w:tcPr>
            <w:tcW w:type="dxa" w:w="3118"/>
            <w:shd w:val="clear" w:color="auto" w:fill="DCE6F1"/>
          </w:tcPr>
          <w:p>
            <w:r>
              <w:rPr>
                <w:b/>
                <w:sz w:val="18"/>
              </w:rPr>
              <w:t>Property Address</w:t>
            </w:r>
          </w:p>
        </w:tc>
        <w:tc>
          <w:tcPr>
            <w:tcW w:type="dxa" w:w="6236"/>
          </w:tcPr>
          <w:p>
            <w:r>
              <w:rPr>
                <w:sz w:val="18"/>
              </w:rPr>
              <w:t>22 D'Aguilar Highway, Kingaroy QLD 4610</w:t>
            </w:r>
          </w:p>
        </w:tc>
      </w:tr>
      <w:tr>
        <w:tc>
          <w:tcPr>
            <w:tcW w:type="dxa" w:w="3118"/>
            <w:shd w:val="clear" w:color="auto" w:fill="DCE6F1"/>
          </w:tcPr>
          <w:p>
            <w:r>
              <w:rPr>
                <w:b/>
                <w:sz w:val="18"/>
              </w:rPr>
              <w:t>Registered Commodity</w:t>
            </w:r>
          </w:p>
        </w:tc>
        <w:tc>
          <w:tcPr>
            <w:tcW w:type="dxa" w:w="6236"/>
            <w:shd w:val="clear" w:color="auto" w:fill="F2F2F2"/>
          </w:tcPr>
          <w:p>
            <w:r>
              <w:rPr>
                <w:sz w:val="18"/>
              </w:rPr>
              <w:t>Table Grapes</w:t>
            </w:r>
          </w:p>
        </w:tc>
      </w:tr>
      <w:tr>
        <w:tc>
          <w:tcPr>
            <w:tcW w:type="dxa" w:w="3118"/>
            <w:shd w:val="clear" w:color="auto" w:fill="DCE6F1"/>
          </w:tcPr>
          <w:p>
            <w:r>
              <w:rPr>
                <w:b/>
                <w:sz w:val="18"/>
              </w:rPr>
              <w:t>Map Version</w:t>
            </w:r>
          </w:p>
        </w:tc>
        <w:tc>
          <w:tcPr>
            <w:tcW w:type="dxa" w:w="6236"/>
          </w:tcPr>
          <w:p>
            <w:r>
              <w:rPr>
                <w:sz w:val="18"/>
              </w:rPr>
              <w:t>v3.8</w:t>
            </w:r>
          </w:p>
        </w:tc>
      </w:tr>
      <w:tr>
        <w:tc>
          <w:tcPr>
            <w:tcW w:type="dxa" w:w="3118"/>
            <w:shd w:val="clear" w:color="auto" w:fill="DCE6F1"/>
          </w:tcPr>
          <w:p>
            <w:r>
              <w:rPr>
                <w:b/>
                <w:sz w:val="18"/>
              </w:rPr>
              <w:t>Prepared Date</w:t>
            </w:r>
          </w:p>
        </w:tc>
        <w:tc>
          <w:tcPr>
            <w:tcW w:type="dxa" w:w="6236"/>
            <w:shd w:val="clear" w:color="auto" w:fill="F2F2F2"/>
          </w:tcPr>
          <w:p>
            <w:r>
              <w:rPr>
                <w:sz w:val="18"/>
              </w:rPr>
              <w:t>21 April 2026</w:t>
            </w:r>
          </w:p>
        </w:tc>
      </w:tr>
      <w:tr>
        <w:tc>
          <w:tcPr>
            <w:tcW w:type="dxa" w:w="3118"/>
            <w:shd w:val="clear" w:color="auto" w:fill="DCE6F1"/>
          </w:tcPr>
          <w:p>
            <w:r>
              <w:rPr>
                <w:b/>
                <w:sz w:val="18"/>
              </w:rPr>
              <w:t>Responsible Officer</w:t>
            </w:r>
          </w:p>
        </w:tc>
        <w:tc>
          <w:tcPr>
            <w:tcW w:type="dxa" w:w="6236"/>
          </w:tcPr>
          <w:p>
            <w:r>
              <w:rPr>
                <w:sz w:val="18"/>
              </w:rPr>
              <w:t>Site Manager</w:t>
            </w:r>
          </w:p>
        </w:tc>
      </w:tr>
    </w:tbl>
    <w:p/>
    <w:p>
      <w:pPr>
        <w:spacing w:before="200" w:after="60"/>
      </w:pPr>
      <w:r>
        <w:rPr>
          <w:b/>
          <w:color w:val="1F497D"/>
          <w:sz w:val="26"/>
        </w:rPr>
        <w:t>1. Pest Control System Overview</w:t>
      </w:r>
    </w:p>
    <w:p>
      <w:r>
        <w:rPr>
          <w:b w:val="0"/>
          <w:i w:val="0"/>
          <w:sz w:val="18"/>
        </w:rPr>
        <w:t>Integrated pest management applies insect surveillance using 20 mapped stations and contractor verification. Trend review shows low activity with completed escalation actions and closure evidence. All operational and surrounding areas maintained clean and free of harbourage.</w:t>
      </w:r>
    </w:p>
    <w:p>
      <w:pPr>
        <w:spacing w:before="200" w:after="60"/>
      </w:pPr>
      <w:r>
        <w:rPr>
          <w:b/>
          <w:color w:val="1F497D"/>
          <w:sz w:val="26"/>
        </w:rPr>
        <w:t>2. Bait Station and Trap Layout</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pPr>
              <w:jc w:val="center"/>
            </w:pPr>
            <w:r>
              <w:rPr>
                <w:b/>
                <w:color w:val="FFFFFF"/>
                <w:sz w:val="18"/>
              </w:rPr>
              <w:t>Station Code</w:t>
            </w:r>
          </w:p>
        </w:tc>
        <w:tc>
          <w:tcPr>
            <w:tcW w:type="dxa" w:w="1568"/>
            <w:shd w:val="clear" w:color="auto" w:fill="1F497D"/>
          </w:tcPr>
          <w:p>
            <w:pPr>
              <w:jc w:val="center"/>
            </w:pPr>
            <w:r>
              <w:rPr>
                <w:b/>
                <w:color w:val="FFFFFF"/>
                <w:sz w:val="18"/>
              </w:rPr>
              <w:t>Zone</w:t>
            </w:r>
          </w:p>
        </w:tc>
        <w:tc>
          <w:tcPr>
            <w:tcW w:type="dxa" w:w="1568"/>
            <w:shd w:val="clear" w:color="auto" w:fill="1F497D"/>
          </w:tcPr>
          <w:p>
            <w:pPr>
              <w:jc w:val="center"/>
            </w:pPr>
            <w:r>
              <w:rPr>
                <w:b/>
                <w:color w:val="FFFFFF"/>
                <w:sz w:val="18"/>
              </w:rPr>
              <w:t>Location</w:t>
            </w:r>
          </w:p>
        </w:tc>
        <w:tc>
          <w:tcPr>
            <w:tcW w:type="dxa" w:w="1568"/>
            <w:shd w:val="clear" w:color="auto" w:fill="1F497D"/>
          </w:tcPr>
          <w:p>
            <w:pPr>
              <w:jc w:val="center"/>
            </w:pPr>
            <w:r>
              <w:rPr>
                <w:b/>
                <w:color w:val="FFFFFF"/>
                <w:sz w:val="18"/>
              </w:rPr>
              <w:t>Bait Type</w:t>
            </w:r>
          </w:p>
        </w:tc>
        <w:tc>
          <w:tcPr>
            <w:tcW w:type="dxa" w:w="1568"/>
            <w:shd w:val="clear" w:color="auto" w:fill="1F497D"/>
          </w:tcPr>
          <w:p>
            <w:pPr>
              <w:jc w:val="center"/>
            </w:pPr>
            <w:r>
              <w:rPr>
                <w:b/>
                <w:color w:val="FFFFFF"/>
                <w:sz w:val="18"/>
              </w:rPr>
              <w:t>Station Condition</w:t>
            </w:r>
          </w:p>
        </w:tc>
        <w:tc>
          <w:tcPr>
            <w:tcW w:type="dxa" w:w="1568"/>
            <w:shd w:val="clear" w:color="auto" w:fill="1F497D"/>
          </w:tcPr>
          <w:p>
            <w:pPr>
              <w:jc w:val="center"/>
            </w:pPr>
            <w:r>
              <w:rPr>
                <w:b/>
                <w:color w:val="FFFFFF"/>
                <w:sz w:val="18"/>
              </w:rPr>
              <w:t>Status</w:t>
            </w:r>
          </w:p>
        </w:tc>
      </w:tr>
      <w:tr>
        <w:tc>
          <w:tcPr>
            <w:tcW w:type="dxa" w:w="1568"/>
            <w:shd w:val="clear" w:color="auto" w:fill="EEF4FB"/>
          </w:tcPr>
          <w:p>
            <w:r>
              <w:rPr>
                <w:sz w:val="16"/>
              </w:rPr>
              <w:t>BS-01</w:t>
            </w:r>
          </w:p>
        </w:tc>
        <w:tc>
          <w:tcPr>
            <w:tcW w:type="dxa" w:w="1568"/>
            <w:shd w:val="clear" w:color="auto" w:fill="EEF4FB"/>
          </w:tcPr>
          <w:p>
            <w:r>
              <w:rPr>
                <w:sz w:val="16"/>
              </w:rPr>
              <w:t>Zone 1</w:t>
            </w:r>
          </w:p>
        </w:tc>
        <w:tc>
          <w:tcPr>
            <w:tcW w:type="dxa" w:w="1568"/>
            <w:shd w:val="clear" w:color="auto" w:fill="EEF4FB"/>
          </w:tcPr>
          <w:p>
            <w:r>
              <w:rPr>
                <w:sz w:val="16"/>
              </w:rPr>
              <w:t>Perimeter wall segment 1</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BS-02</w:t>
            </w:r>
          </w:p>
        </w:tc>
        <w:tc>
          <w:tcPr>
            <w:tcW w:type="dxa" w:w="1568"/>
          </w:tcPr>
          <w:p>
            <w:r>
              <w:rPr>
                <w:sz w:val="16"/>
              </w:rPr>
              <w:t>Zone 1</w:t>
            </w:r>
          </w:p>
        </w:tc>
        <w:tc>
          <w:tcPr>
            <w:tcW w:type="dxa" w:w="1568"/>
          </w:tcPr>
          <w:p>
            <w:r>
              <w:rPr>
                <w:sz w:val="16"/>
              </w:rPr>
              <w:t>Perimeter wall segment 2</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BS-03</w:t>
            </w:r>
          </w:p>
        </w:tc>
        <w:tc>
          <w:tcPr>
            <w:tcW w:type="dxa" w:w="1568"/>
            <w:shd w:val="clear" w:color="auto" w:fill="EEF4FB"/>
          </w:tcPr>
          <w:p>
            <w:r>
              <w:rPr>
                <w:sz w:val="16"/>
              </w:rPr>
              <w:t>Zone 1</w:t>
            </w:r>
          </w:p>
        </w:tc>
        <w:tc>
          <w:tcPr>
            <w:tcW w:type="dxa" w:w="1568"/>
            <w:shd w:val="clear" w:color="auto" w:fill="EEF4FB"/>
          </w:tcPr>
          <w:p>
            <w:r>
              <w:rPr>
                <w:sz w:val="16"/>
              </w:rPr>
              <w:t>Perimeter wall segment 3</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BS-04</w:t>
            </w:r>
          </w:p>
        </w:tc>
        <w:tc>
          <w:tcPr>
            <w:tcW w:type="dxa" w:w="1568"/>
          </w:tcPr>
          <w:p>
            <w:r>
              <w:rPr>
                <w:sz w:val="16"/>
              </w:rPr>
              <w:t>Zone 1</w:t>
            </w:r>
          </w:p>
        </w:tc>
        <w:tc>
          <w:tcPr>
            <w:tcW w:type="dxa" w:w="1568"/>
          </w:tcPr>
          <w:p>
            <w:r>
              <w:rPr>
                <w:sz w:val="16"/>
              </w:rPr>
              <w:t>Perimeter wall segment 4</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BS-05</w:t>
            </w:r>
          </w:p>
        </w:tc>
        <w:tc>
          <w:tcPr>
            <w:tcW w:type="dxa" w:w="1568"/>
            <w:shd w:val="clear" w:color="auto" w:fill="EEF4FB"/>
          </w:tcPr>
          <w:p>
            <w:r>
              <w:rPr>
                <w:sz w:val="16"/>
              </w:rPr>
              <w:t>Zone 2</w:t>
            </w:r>
          </w:p>
        </w:tc>
        <w:tc>
          <w:tcPr>
            <w:tcW w:type="dxa" w:w="1568"/>
            <w:shd w:val="clear" w:color="auto" w:fill="EEF4FB"/>
          </w:tcPr>
          <w:p>
            <w:r>
              <w:rPr>
                <w:sz w:val="16"/>
              </w:rPr>
              <w:t>Perimeter wall segment 1</w:t>
            </w:r>
          </w:p>
        </w:tc>
        <w:tc>
          <w:tcPr>
            <w:tcW w:type="dxa" w:w="1568"/>
            <w:shd w:val="clear" w:color="auto" w:fill="EEF4FB"/>
          </w:tcPr>
          <w:p>
            <w:r>
              <w:rPr>
                <w:sz w:val="16"/>
              </w:rPr>
              <w:t>Bromadiolone 0.005%</w:t>
            </w:r>
          </w:p>
        </w:tc>
        <w:tc>
          <w:tcPr>
            <w:tcW w:type="dxa" w:w="1568"/>
            <w:shd w:val="clear" w:color="auto" w:fill="EEF4FB"/>
          </w:tcPr>
          <w:p>
            <w:r>
              <w:rPr>
                <w:sz w:val="16"/>
              </w:rPr>
              <w:t>Loose anchor</w:t>
            </w:r>
          </w:p>
        </w:tc>
        <w:tc>
          <w:tcPr>
            <w:tcW w:type="dxa" w:w="1568"/>
            <w:shd w:val="clear" w:color="auto" w:fill="EEF4FB"/>
          </w:tcPr>
          <w:p>
            <w:r>
              <w:rPr>
                <w:sz w:val="16"/>
              </w:rPr>
              <w:t>Active</w:t>
            </w:r>
          </w:p>
        </w:tc>
      </w:tr>
      <w:tr>
        <w:tc>
          <w:tcPr>
            <w:tcW w:type="dxa" w:w="1568"/>
          </w:tcPr>
          <w:p>
            <w:r>
              <w:rPr>
                <w:sz w:val="16"/>
              </w:rPr>
              <w:t>BS-06</w:t>
            </w:r>
          </w:p>
        </w:tc>
        <w:tc>
          <w:tcPr>
            <w:tcW w:type="dxa" w:w="1568"/>
          </w:tcPr>
          <w:p>
            <w:r>
              <w:rPr>
                <w:sz w:val="16"/>
              </w:rPr>
              <w:t>Zone 2</w:t>
            </w:r>
          </w:p>
        </w:tc>
        <w:tc>
          <w:tcPr>
            <w:tcW w:type="dxa" w:w="1568"/>
          </w:tcPr>
          <w:p>
            <w:r>
              <w:rPr>
                <w:sz w:val="16"/>
              </w:rPr>
              <w:t>Perimeter wall segment 2</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BS-07</w:t>
            </w:r>
          </w:p>
        </w:tc>
        <w:tc>
          <w:tcPr>
            <w:tcW w:type="dxa" w:w="1568"/>
            <w:shd w:val="clear" w:color="auto" w:fill="EEF4FB"/>
          </w:tcPr>
          <w:p>
            <w:r>
              <w:rPr>
                <w:sz w:val="16"/>
              </w:rPr>
              <w:t>Zone 2</w:t>
            </w:r>
          </w:p>
        </w:tc>
        <w:tc>
          <w:tcPr>
            <w:tcW w:type="dxa" w:w="1568"/>
            <w:shd w:val="clear" w:color="auto" w:fill="EEF4FB"/>
          </w:tcPr>
          <w:p>
            <w:r>
              <w:rPr>
                <w:sz w:val="16"/>
              </w:rPr>
              <w:t>Perimeter wall segment 3</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BS-08</w:t>
            </w:r>
          </w:p>
        </w:tc>
        <w:tc>
          <w:tcPr>
            <w:tcW w:type="dxa" w:w="1568"/>
          </w:tcPr>
          <w:p>
            <w:r>
              <w:rPr>
                <w:sz w:val="16"/>
              </w:rPr>
              <w:t>Zone 2</w:t>
            </w:r>
          </w:p>
        </w:tc>
        <w:tc>
          <w:tcPr>
            <w:tcW w:type="dxa" w:w="1568"/>
          </w:tcPr>
          <w:p>
            <w:r>
              <w:rPr>
                <w:sz w:val="16"/>
              </w:rPr>
              <w:t>Perimeter wall segment 4</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BS-09</w:t>
            </w:r>
          </w:p>
        </w:tc>
        <w:tc>
          <w:tcPr>
            <w:tcW w:type="dxa" w:w="1568"/>
            <w:shd w:val="clear" w:color="auto" w:fill="EEF4FB"/>
          </w:tcPr>
          <w:p>
            <w:r>
              <w:rPr>
                <w:sz w:val="16"/>
              </w:rPr>
              <w:t>Zone 3</w:t>
            </w:r>
          </w:p>
        </w:tc>
        <w:tc>
          <w:tcPr>
            <w:tcW w:type="dxa" w:w="1568"/>
            <w:shd w:val="clear" w:color="auto" w:fill="EEF4FB"/>
          </w:tcPr>
          <w:p>
            <w:r>
              <w:rPr>
                <w:sz w:val="16"/>
              </w:rPr>
              <w:t>Perimeter wall segment 1</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BS-10</w:t>
            </w:r>
          </w:p>
        </w:tc>
        <w:tc>
          <w:tcPr>
            <w:tcW w:type="dxa" w:w="1568"/>
          </w:tcPr>
          <w:p>
            <w:r>
              <w:rPr>
                <w:sz w:val="16"/>
              </w:rPr>
              <w:t>Zone 3</w:t>
            </w:r>
          </w:p>
        </w:tc>
        <w:tc>
          <w:tcPr>
            <w:tcW w:type="dxa" w:w="1568"/>
          </w:tcPr>
          <w:p>
            <w:r>
              <w:rPr>
                <w:sz w:val="16"/>
              </w:rPr>
              <w:t>Perimeter wall segment 2</w:t>
            </w:r>
          </w:p>
        </w:tc>
        <w:tc>
          <w:tcPr>
            <w:tcW w:type="dxa" w:w="1568"/>
          </w:tcPr>
          <w:p>
            <w:r>
              <w:rPr>
                <w:sz w:val="16"/>
              </w:rPr>
              <w:t>Non-toxic monitor block</w:t>
            </w:r>
          </w:p>
        </w:tc>
        <w:tc>
          <w:tcPr>
            <w:tcW w:type="dxa" w:w="1568"/>
          </w:tcPr>
          <w:p>
            <w:r>
              <w:rPr>
                <w:sz w:val="16"/>
              </w:rPr>
              <w:t>Loose anchor</w:t>
            </w:r>
          </w:p>
        </w:tc>
        <w:tc>
          <w:tcPr>
            <w:tcW w:type="dxa" w:w="1568"/>
          </w:tcPr>
          <w:p>
            <w:r>
              <w:rPr>
                <w:sz w:val="16"/>
              </w:rPr>
              <w:t>Active</w:t>
            </w:r>
          </w:p>
        </w:tc>
      </w:tr>
      <w:tr>
        <w:tc>
          <w:tcPr>
            <w:tcW w:type="dxa" w:w="1568"/>
            <w:shd w:val="clear" w:color="auto" w:fill="EEF4FB"/>
          </w:tcPr>
          <w:p>
            <w:r>
              <w:rPr>
                <w:sz w:val="16"/>
              </w:rPr>
              <w:t>BS-11</w:t>
            </w:r>
          </w:p>
        </w:tc>
        <w:tc>
          <w:tcPr>
            <w:tcW w:type="dxa" w:w="1568"/>
            <w:shd w:val="clear" w:color="auto" w:fill="EEF4FB"/>
          </w:tcPr>
          <w:p>
            <w:r>
              <w:rPr>
                <w:sz w:val="16"/>
              </w:rPr>
              <w:t>Zone 3</w:t>
            </w:r>
          </w:p>
        </w:tc>
        <w:tc>
          <w:tcPr>
            <w:tcW w:type="dxa" w:w="1568"/>
            <w:shd w:val="clear" w:color="auto" w:fill="EEF4FB"/>
          </w:tcPr>
          <w:p>
            <w:r>
              <w:rPr>
                <w:sz w:val="16"/>
              </w:rPr>
              <w:t>Perimeter wall segment 3</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BS-12</w:t>
            </w:r>
          </w:p>
        </w:tc>
        <w:tc>
          <w:tcPr>
            <w:tcW w:type="dxa" w:w="1568"/>
          </w:tcPr>
          <w:p>
            <w:r>
              <w:rPr>
                <w:sz w:val="16"/>
              </w:rPr>
              <w:t>Zone 3</w:t>
            </w:r>
          </w:p>
        </w:tc>
        <w:tc>
          <w:tcPr>
            <w:tcW w:type="dxa" w:w="1568"/>
          </w:tcPr>
          <w:p>
            <w:r>
              <w:rPr>
                <w:sz w:val="16"/>
              </w:rPr>
              <w:t>Perimeter wall segment 4</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BS-13</w:t>
            </w:r>
          </w:p>
        </w:tc>
        <w:tc>
          <w:tcPr>
            <w:tcW w:type="dxa" w:w="1568"/>
            <w:shd w:val="clear" w:color="auto" w:fill="EEF4FB"/>
          </w:tcPr>
          <w:p>
            <w:r>
              <w:rPr>
                <w:sz w:val="16"/>
              </w:rPr>
              <w:t>Zone 4</w:t>
            </w:r>
          </w:p>
        </w:tc>
        <w:tc>
          <w:tcPr>
            <w:tcW w:type="dxa" w:w="1568"/>
            <w:shd w:val="clear" w:color="auto" w:fill="EEF4FB"/>
          </w:tcPr>
          <w:p>
            <w:r>
              <w:rPr>
                <w:sz w:val="16"/>
              </w:rPr>
              <w:t>Perimeter wall segment 1</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BS-14</w:t>
            </w:r>
          </w:p>
        </w:tc>
        <w:tc>
          <w:tcPr>
            <w:tcW w:type="dxa" w:w="1568"/>
          </w:tcPr>
          <w:p>
            <w:r>
              <w:rPr>
                <w:sz w:val="16"/>
              </w:rPr>
              <w:t>Zone 4</w:t>
            </w:r>
          </w:p>
        </w:tc>
        <w:tc>
          <w:tcPr>
            <w:tcW w:type="dxa" w:w="1568"/>
          </w:tcPr>
          <w:p>
            <w:r>
              <w:rPr>
                <w:sz w:val="16"/>
              </w:rPr>
              <w:t>Perimeter wall segment 2</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BS-15</w:t>
            </w:r>
          </w:p>
        </w:tc>
        <w:tc>
          <w:tcPr>
            <w:tcW w:type="dxa" w:w="1568"/>
            <w:shd w:val="clear" w:color="auto" w:fill="EEF4FB"/>
          </w:tcPr>
          <w:p>
            <w:r>
              <w:rPr>
                <w:sz w:val="16"/>
              </w:rPr>
              <w:t>Zone 4</w:t>
            </w:r>
          </w:p>
        </w:tc>
        <w:tc>
          <w:tcPr>
            <w:tcW w:type="dxa" w:w="1568"/>
            <w:shd w:val="clear" w:color="auto" w:fill="EEF4FB"/>
          </w:tcPr>
          <w:p>
            <w:r>
              <w:rPr>
                <w:sz w:val="16"/>
              </w:rPr>
              <w:t>Perimeter wall segment 3</w:t>
            </w:r>
          </w:p>
        </w:tc>
        <w:tc>
          <w:tcPr>
            <w:tcW w:type="dxa" w:w="1568"/>
            <w:shd w:val="clear" w:color="auto" w:fill="EEF4FB"/>
          </w:tcPr>
          <w:p>
            <w:r>
              <w:rPr>
                <w:sz w:val="16"/>
              </w:rPr>
              <w:t>Difethialone 0.0025%</w:t>
            </w:r>
          </w:p>
        </w:tc>
        <w:tc>
          <w:tcPr>
            <w:tcW w:type="dxa" w:w="1568"/>
            <w:shd w:val="clear" w:color="auto" w:fill="EEF4FB"/>
          </w:tcPr>
          <w:p>
            <w:r>
              <w:rPr>
                <w:sz w:val="16"/>
              </w:rPr>
              <w:t>Cracked lid</w:t>
            </w:r>
          </w:p>
        </w:tc>
        <w:tc>
          <w:tcPr>
            <w:tcW w:type="dxa" w:w="1568"/>
            <w:shd w:val="clear" w:color="auto" w:fill="EEF4FB"/>
          </w:tcPr>
          <w:p>
            <w:r>
              <w:rPr>
                <w:sz w:val="16"/>
              </w:rPr>
              <w:t>Active</w:t>
            </w:r>
          </w:p>
        </w:tc>
      </w:tr>
      <w:tr>
        <w:tc>
          <w:tcPr>
            <w:tcW w:type="dxa" w:w="1568"/>
          </w:tcPr>
          <w:p>
            <w:r>
              <w:rPr>
                <w:sz w:val="16"/>
              </w:rPr>
              <w:t>BS-16</w:t>
            </w:r>
          </w:p>
        </w:tc>
        <w:tc>
          <w:tcPr>
            <w:tcW w:type="dxa" w:w="1568"/>
          </w:tcPr>
          <w:p>
            <w:r>
              <w:rPr>
                <w:sz w:val="16"/>
              </w:rPr>
              <w:t>Zone 4</w:t>
            </w:r>
          </w:p>
        </w:tc>
        <w:tc>
          <w:tcPr>
            <w:tcW w:type="dxa" w:w="1568"/>
          </w:tcPr>
          <w:p>
            <w:r>
              <w:rPr>
                <w:sz w:val="16"/>
              </w:rPr>
              <w:t>Perimeter wall segment 4</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BS-17</w:t>
            </w:r>
          </w:p>
        </w:tc>
        <w:tc>
          <w:tcPr>
            <w:tcW w:type="dxa" w:w="1568"/>
            <w:shd w:val="clear" w:color="auto" w:fill="EEF4FB"/>
          </w:tcPr>
          <w:p>
            <w:r>
              <w:rPr>
                <w:sz w:val="16"/>
              </w:rPr>
              <w:t>Zone 5</w:t>
            </w:r>
          </w:p>
        </w:tc>
        <w:tc>
          <w:tcPr>
            <w:tcW w:type="dxa" w:w="1568"/>
            <w:shd w:val="clear" w:color="auto" w:fill="EEF4FB"/>
          </w:tcPr>
          <w:p>
            <w:r>
              <w:rPr>
                <w:sz w:val="16"/>
              </w:rPr>
              <w:t>Perimeter wall segment 1</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BS-18</w:t>
            </w:r>
          </w:p>
        </w:tc>
        <w:tc>
          <w:tcPr>
            <w:tcW w:type="dxa" w:w="1568"/>
          </w:tcPr>
          <w:p>
            <w:r>
              <w:rPr>
                <w:sz w:val="16"/>
              </w:rPr>
              <w:t>Zone 5</w:t>
            </w:r>
          </w:p>
        </w:tc>
        <w:tc>
          <w:tcPr>
            <w:tcW w:type="dxa" w:w="1568"/>
          </w:tcPr>
          <w:p>
            <w:r>
              <w:rPr>
                <w:sz w:val="16"/>
              </w:rPr>
              <w:t>Perimeter wall segment 2</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BS-19</w:t>
            </w:r>
          </w:p>
        </w:tc>
        <w:tc>
          <w:tcPr>
            <w:tcW w:type="dxa" w:w="1568"/>
            <w:shd w:val="clear" w:color="auto" w:fill="EEF4FB"/>
          </w:tcPr>
          <w:p>
            <w:r>
              <w:rPr>
                <w:sz w:val="16"/>
              </w:rPr>
              <w:t>Zone 5</w:t>
            </w:r>
          </w:p>
        </w:tc>
        <w:tc>
          <w:tcPr>
            <w:tcW w:type="dxa" w:w="1568"/>
            <w:shd w:val="clear" w:color="auto" w:fill="EEF4FB"/>
          </w:tcPr>
          <w:p>
            <w:r>
              <w:rPr>
                <w:sz w:val="16"/>
              </w:rPr>
              <w:t>Perimeter wall segment 3</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BS-20</w:t>
            </w:r>
          </w:p>
        </w:tc>
        <w:tc>
          <w:tcPr>
            <w:tcW w:type="dxa" w:w="1568"/>
          </w:tcPr>
          <w:p>
            <w:r>
              <w:rPr>
                <w:sz w:val="16"/>
              </w:rPr>
              <w:t>Zone 5</w:t>
            </w:r>
          </w:p>
        </w:tc>
        <w:tc>
          <w:tcPr>
            <w:tcW w:type="dxa" w:w="1568"/>
          </w:tcPr>
          <w:p>
            <w:r>
              <w:rPr>
                <w:sz w:val="16"/>
              </w:rPr>
              <w:t>Perimeter wall segment 4</w:t>
            </w:r>
          </w:p>
        </w:tc>
        <w:tc>
          <w:tcPr>
            <w:tcW w:type="dxa" w:w="1568"/>
          </w:tcPr>
          <w:p>
            <w:r>
              <w:rPr>
                <w:sz w:val="16"/>
              </w:rPr>
              <w:t>Bromadiolone 0.005%</w:t>
            </w:r>
          </w:p>
        </w:tc>
        <w:tc>
          <w:tcPr>
            <w:tcW w:type="dxa" w:w="1568"/>
          </w:tcPr>
          <w:p>
            <w:r>
              <w:rPr>
                <w:sz w:val="16"/>
              </w:rPr>
              <w:t>Loose anchor</w:t>
            </w:r>
          </w:p>
        </w:tc>
        <w:tc>
          <w:tcPr>
            <w:tcW w:type="dxa" w:w="1568"/>
          </w:tcPr>
          <w:p>
            <w:r>
              <w:rPr>
                <w:sz w:val="16"/>
              </w:rPr>
              <w:t>Active</w:t>
            </w:r>
          </w:p>
        </w:tc>
      </w:tr>
    </w:tbl>
    <w:p/>
    <w:p>
      <w:pPr>
        <w:spacing w:before="200" w:after="60"/>
      </w:pPr>
      <w:r>
        <w:rPr>
          <w:b/>
          <w:color w:val="1F497D"/>
          <w:sz w:val="26"/>
        </w:rPr>
        <w:t>3. Monitoring and Servicing Schedule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b/>
                <w:color w:val="FFFFFF"/>
                <w:sz w:val="18"/>
              </w:rPr>
              <w:t>Activity</w:t>
            </w:r>
          </w:p>
        </w:tc>
        <w:tc>
          <w:tcPr>
            <w:tcW w:type="dxa" w:w="2351"/>
            <w:shd w:val="clear" w:color="auto" w:fill="1F497D"/>
          </w:tcPr>
          <w:p>
            <w:pPr>
              <w:jc w:val="center"/>
            </w:pPr>
            <w:r>
              <w:rPr>
                <w:b/>
                <w:color w:val="FFFFFF"/>
                <w:sz w:val="18"/>
              </w:rPr>
              <w:t>Frequency</w:t>
            </w:r>
          </w:p>
        </w:tc>
        <w:tc>
          <w:tcPr>
            <w:tcW w:type="dxa" w:w="2351"/>
            <w:shd w:val="clear" w:color="auto" w:fill="1F497D"/>
          </w:tcPr>
          <w:p>
            <w:pPr>
              <w:jc w:val="center"/>
            </w:pPr>
            <w:r>
              <w:rPr>
                <w:b/>
                <w:color w:val="FFFFFF"/>
                <w:sz w:val="18"/>
              </w:rPr>
              <w:t>Responsible</w:t>
            </w:r>
          </w:p>
        </w:tc>
        <w:tc>
          <w:tcPr>
            <w:tcW w:type="dxa" w:w="2351"/>
            <w:shd w:val="clear" w:color="auto" w:fill="1F497D"/>
          </w:tcPr>
          <w:p>
            <w:pPr>
              <w:jc w:val="center"/>
            </w:pPr>
            <w:r>
              <w:rPr>
                <w:b/>
                <w:color w:val="FFFFFF"/>
                <w:sz w:val="18"/>
              </w:rPr>
              <w:t>Record Type</w:t>
            </w:r>
          </w:p>
        </w:tc>
      </w:tr>
      <w:tr>
        <w:tc>
          <w:tcPr>
            <w:tcW w:type="dxa" w:w="2351"/>
            <w:shd w:val="clear" w:color="auto" w:fill="EEF4FB"/>
          </w:tcPr>
          <w:p>
            <w:r>
              <w:rPr>
                <w:sz w:val="16"/>
              </w:rPr>
              <w:t>External bait station inspection</w:t>
            </w:r>
          </w:p>
        </w:tc>
        <w:tc>
          <w:tcPr>
            <w:tcW w:type="dxa" w:w="2351"/>
            <w:shd w:val="clear" w:color="auto" w:fill="EEF4FB"/>
          </w:tcPr>
          <w:p>
            <w:r>
              <w:rPr>
                <w:sz w:val="16"/>
              </w:rPr>
              <w:t>Weekly</w:t>
            </w:r>
          </w:p>
        </w:tc>
        <w:tc>
          <w:tcPr>
            <w:tcW w:type="dxa" w:w="2351"/>
            <w:shd w:val="clear" w:color="auto" w:fill="EEF4FB"/>
          </w:tcPr>
          <w:p>
            <w:r>
              <w:rPr>
                <w:sz w:val="16"/>
              </w:rPr>
              <w:t>Pest contractor</w:t>
            </w:r>
          </w:p>
        </w:tc>
        <w:tc>
          <w:tcPr>
            <w:tcW w:type="dxa" w:w="2351"/>
            <w:shd w:val="clear" w:color="auto" w:fill="EEF4FB"/>
          </w:tcPr>
          <w:p>
            <w:r>
              <w:rPr>
                <w:sz w:val="16"/>
              </w:rPr>
              <w:t>Service docket + photo log</w:t>
            </w:r>
          </w:p>
        </w:tc>
      </w:tr>
      <w:tr>
        <w:tc>
          <w:tcPr>
            <w:tcW w:type="dxa" w:w="2351"/>
          </w:tcPr>
          <w:p>
            <w:r>
              <w:rPr>
                <w:sz w:val="16"/>
              </w:rPr>
              <w:t>Internal trap verification</w:t>
            </w:r>
          </w:p>
        </w:tc>
        <w:tc>
          <w:tcPr>
            <w:tcW w:type="dxa" w:w="2351"/>
          </w:tcPr>
          <w:p>
            <w:r>
              <w:rPr>
                <w:sz w:val="16"/>
              </w:rPr>
              <w:t>Twice weekly</w:t>
            </w:r>
          </w:p>
        </w:tc>
        <w:tc>
          <w:tcPr>
            <w:tcW w:type="dxa" w:w="2351"/>
          </w:tcPr>
          <w:p>
            <w:r>
              <w:rPr>
                <w:sz w:val="16"/>
              </w:rPr>
              <w:t>QA team</w:t>
            </w:r>
          </w:p>
        </w:tc>
        <w:tc>
          <w:tcPr>
            <w:tcW w:type="dxa" w:w="2351"/>
          </w:tcPr>
          <w:p>
            <w:r>
              <w:rPr>
                <w:sz w:val="16"/>
              </w:rPr>
              <w:t>Trap register</w:t>
            </w:r>
          </w:p>
        </w:tc>
      </w:tr>
      <w:tr>
        <w:tc>
          <w:tcPr>
            <w:tcW w:type="dxa" w:w="2351"/>
            <w:shd w:val="clear" w:color="auto" w:fill="EEF4FB"/>
          </w:tcPr>
          <w:p>
            <w:r>
              <w:rPr>
                <w:sz w:val="16"/>
              </w:rPr>
              <w:t>Corrective action follow-up</w:t>
            </w:r>
          </w:p>
        </w:tc>
        <w:tc>
          <w:tcPr>
            <w:tcW w:type="dxa" w:w="2351"/>
            <w:shd w:val="clear" w:color="auto" w:fill="EEF4FB"/>
          </w:tcPr>
          <w:p>
            <w:r>
              <w:rPr>
                <w:sz w:val="16"/>
              </w:rPr>
              <w:t>Within 24 hours</w:t>
            </w:r>
          </w:p>
        </w:tc>
        <w:tc>
          <w:tcPr>
            <w:tcW w:type="dxa" w:w="2351"/>
            <w:shd w:val="clear" w:color="auto" w:fill="EEF4FB"/>
          </w:tcPr>
          <w:p>
            <w:r>
              <w:rPr>
                <w:sz w:val="16"/>
              </w:rPr>
              <w:t>Operations</w:t>
            </w:r>
          </w:p>
        </w:tc>
        <w:tc>
          <w:tcPr>
            <w:tcW w:type="dxa" w:w="2351"/>
            <w:shd w:val="clear" w:color="auto" w:fill="EEF4FB"/>
          </w:tcPr>
          <w:p>
            <w:r>
              <w:rPr>
                <w:sz w:val="16"/>
              </w:rPr>
              <w:t>CAPA log</w:t>
            </w:r>
          </w:p>
        </w:tc>
      </w:tr>
      <w:tr>
        <w:tc>
          <w:tcPr>
            <w:tcW w:type="dxa" w:w="2351"/>
          </w:tcPr>
          <w:p>
            <w:r>
              <w:rPr>
                <w:sz w:val="16"/>
              </w:rPr>
              <w:t>Map validation against floor changes</w:t>
            </w:r>
          </w:p>
        </w:tc>
        <w:tc>
          <w:tcPr>
            <w:tcW w:type="dxa" w:w="2351"/>
          </w:tcPr>
          <w:p>
            <w:r>
              <w:rPr>
                <w:sz w:val="16"/>
              </w:rPr>
              <w:t>Monthly</w:t>
            </w:r>
          </w:p>
        </w:tc>
        <w:tc>
          <w:tcPr>
            <w:tcW w:type="dxa" w:w="2351"/>
          </w:tcPr>
          <w:p>
            <w:r>
              <w:rPr>
                <w:sz w:val="16"/>
              </w:rPr>
              <w:t>Biosecurity Supervisor</w:t>
            </w:r>
          </w:p>
        </w:tc>
        <w:tc>
          <w:tcPr>
            <w:tcW w:type="dxa" w:w="2351"/>
          </w:tcPr>
          <w:p>
            <w:r>
              <w:rPr>
                <w:sz w:val="16"/>
              </w:rPr>
              <w:t>Revision register</w:t>
            </w:r>
          </w:p>
        </w:tc>
      </w:tr>
    </w:tbl>
    <w:p/>
    <w:p>
      <w:pPr>
        <w:spacing w:before="200" w:after="60"/>
      </w:pPr>
      <w:r>
        <w:rPr>
          <w:b/>
          <w:color w:val="1F497D"/>
          <w:sz w:val="26"/>
        </w:rPr>
        <w:t>4. Chemical Storage and Segregation</w:t>
      </w:r>
    </w:p>
    <w:p>
      <w:r>
        <w:rPr>
          <w:b w:val="0"/>
          <w:i w:val="0"/>
          <w:sz w:val="18"/>
        </w:rPr>
        <w:t>Temporary overflow pesticide cartons held in open shelf area during stocktake. Chemical storage physically separated from export product handling and preparation areas.</w:t>
      </w:r>
    </w:p>
    <w:p>
      <w:pPr>
        <w:spacing w:before="200" w:after="60"/>
      </w:pPr>
      <w:r>
        <w:rPr>
          <w:b/>
          <w:color w:val="1F497D"/>
          <w:sz w:val="26"/>
        </w:rPr>
        <w:t>5. Site Sketch (Text Schematic)</w:t>
      </w:r>
    </w:p>
    <w:p>
      <w:pPr>
        <w:spacing w:after="20" w:before="0"/>
      </w:pPr>
      <w:r>
        <w:rPr>
          <w:rFonts w:ascii="Courier New" w:hAnsi="Courier New"/>
          <w:sz w:val="14"/>
        </w:rPr>
        <w:t>┌──────────────────────────────────────────────────────────────┐</w:t>
      </w:r>
    </w:p>
    <w:p>
      <w:pPr>
        <w:spacing w:after="20" w:before="0"/>
      </w:pPr>
      <w:r>
        <w:rPr>
          <w:rFonts w:ascii="Courier New" w:hAnsi="Courier New"/>
          <w:sz w:val="14"/>
        </w:rPr>
        <w:t>│ Burnett River Chickpea                                            │</w:t>
      </w:r>
    </w:p>
    <w:p>
      <w:pPr>
        <w:spacing w:after="20" w:before="0"/>
      </w:pPr>
      <w:r>
        <w:rPr>
          <w:rFonts w:ascii="Courier New" w:hAnsi="Courier New"/>
          <w:sz w:val="14"/>
        </w:rPr>
        <w:t>│ Perimeter line: BS-01..BS-08 minimum; internal corridors mapped │</w:t>
      </w:r>
    </w:p>
    <w:p>
      <w:pPr>
        <w:spacing w:after="20" w:before="0"/>
      </w:pPr>
      <w:r>
        <w:rPr>
          <w:rFonts w:ascii="Courier New" w:hAnsi="Courier New"/>
          <w:sz w:val="14"/>
        </w:rPr>
        <w:t>│ North Gate → Receival Shed → Packing Hall → Dispatch Zone       │</w:t>
      </w:r>
    </w:p>
    <w:p>
      <w:pPr>
        <w:spacing w:after="20" w:before="0"/>
      </w:pPr>
      <w:r>
        <w:rPr>
          <w:rFonts w:ascii="Courier New" w:hAnsi="Courier New"/>
          <w:sz w:val="14"/>
        </w:rPr>
        <w:t>│ External wall nodes anchor tamper-resistant stations             │</w:t>
      </w:r>
    </w:p>
    <w:p>
      <w:pPr>
        <w:spacing w:after="20" w:before="0"/>
      </w:pPr>
      <w:r>
        <w:rPr>
          <w:rFonts w:ascii="Courier New" w:hAnsi="Courier New"/>
          <w:sz w:val="14"/>
        </w:rPr>
        <w:t>│ Chemical cabinet in secured utilities room                       │</w:t>
      </w:r>
    </w:p>
    <w:p>
      <w:pPr>
        <w:spacing w:after="20" w:before="0"/>
      </w:pPr>
      <w:r>
        <w:rPr>
          <w:rFonts w:ascii="Courier New" w:hAnsi="Courier New"/>
          <w:sz w:val="14"/>
        </w:rP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