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Central Queensland Grain</w:t>
            </w:r>
          </w:p>
        </w:tc>
      </w:tr>
      <w:tr>
        <w:tc>
          <w:tcPr>
            <w:tcW w:type="dxa" w:w="4536"/>
            <w:shd w:val="clear" w:color="auto" w:fill="1F497D"/>
            <w:vAlign w:val="center"/>
          </w:tcPr>
          <w:p>
            <w:r>
              <w:rPr>
                <w:b/>
                <w:color w:val="FFFFFF"/>
                <w:sz w:val="18"/>
              </w:rPr>
              <w:t>RE Number</w:t>
            </w:r>
          </w:p>
        </w:tc>
        <w:tc>
          <w:tcPr>
            <w:tcW w:type="dxa" w:w="4536"/>
          </w:tcPr>
          <w:p>
            <w:r>
              <w:rPr>
                <w:sz w:val="18"/>
              </w:rPr>
              <w:t>RE-QLD-2023-0044</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56 Dawson Highway, Biloela QLD 4715</w:t>
            </w:r>
          </w:p>
        </w:tc>
      </w:tr>
      <w:tr>
        <w:tc>
          <w:tcPr>
            <w:tcW w:type="dxa" w:w="4536"/>
            <w:shd w:val="clear" w:color="auto" w:fill="1F497D"/>
            <w:vAlign w:val="center"/>
          </w:tcPr>
          <w:p>
            <w:r>
              <w:rPr>
                <w:b/>
                <w:color w:val="FFFFFF"/>
                <w:sz w:val="18"/>
              </w:rPr>
              <w:t>Registered Commodity</w:t>
            </w:r>
          </w:p>
        </w:tc>
        <w:tc>
          <w:tcPr>
            <w:tcW w:type="dxa" w:w="4536"/>
          </w:tcPr>
          <w:p>
            <w:r>
              <w:rPr>
                <w:sz w:val="18"/>
              </w:rPr>
              <w:t>Cherries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Claire Booth</w:t>
            </w:r>
          </w:p>
        </w:tc>
      </w:tr>
      <w:tr>
        <w:tc>
          <w:tcPr>
            <w:tcW w:type="dxa" w:w="4536"/>
            <w:shd w:val="clear" w:color="auto" w:fill="1F497D"/>
            <w:vAlign w:val="center"/>
          </w:tcPr>
          <w:p>
            <w:r>
              <w:rPr>
                <w:b/>
                <w:color w:val="FFFFFF"/>
                <w:sz w:val="18"/>
              </w:rPr>
              <w:t>Property Area</w:t>
            </w:r>
          </w:p>
        </w:tc>
        <w:tc>
          <w:tcPr>
            <w:tcW w:type="dxa" w:w="4536"/>
          </w:tcPr>
          <w:p>
            <w:r>
              <w:rPr>
                <w:sz w:val="18"/>
              </w:rPr>
              <w:t>140.0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18 November 2024</w:t>
            </w:r>
          </w:p>
        </w:tc>
      </w:tr>
      <w:tr>
        <w:tc>
          <w:tcPr>
            <w:tcW w:type="dxa" w:w="4536"/>
            <w:shd w:val="clear" w:color="auto" w:fill="1F497D"/>
            <w:vAlign w:val="center"/>
          </w:tcPr>
          <w:p>
            <w:r>
              <w:rPr>
                <w:b/>
                <w:color w:val="FFFFFF"/>
                <w:sz w:val="18"/>
              </w:rPr>
              <w:t>Next Review</w:t>
            </w:r>
          </w:p>
        </w:tc>
        <w:tc>
          <w:tcPr>
            <w:tcW w:type="dxa" w:w="4536"/>
          </w:tcPr>
          <w:p>
            <w:r>
              <w:rPr>
                <w:sz w:val="18"/>
              </w:rPr>
              <w:t>18 November 2026</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Central Queensland Grain used in horticultural packing and cold-chain export operations for Cherries.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Claire Booth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18 November 2024.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Claire Booth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18 November 2024</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18 November 2026</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