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Eyre Peninsula Exports Trust</w:t>
            </w:r>
          </w:p>
        </w:tc>
      </w:tr>
      <w:tr>
        <w:tc>
          <w:tcPr>
            <w:tcW w:type="dxa" w:w="4536"/>
            <w:shd w:val="clear" w:color="auto" w:fill="1F497D"/>
            <w:vAlign w:val="center"/>
          </w:tcPr>
          <w:p>
            <w:r>
              <w:rPr>
                <w:b/>
                <w:color w:val="FFFFFF"/>
                <w:sz w:val="18"/>
              </w:rPr>
              <w:t>RE Number</w:t>
            </w:r>
          </w:p>
        </w:tc>
        <w:tc>
          <w:tcPr>
            <w:tcW w:type="dxa" w:w="4536"/>
          </w:tcPr>
          <w:p>
            <w:r>
              <w:rPr>
                <w:sz w:val="18"/>
              </w:rPr>
              <w:t>RE-SA-2021-0148</w:t>
            </w:r>
          </w:p>
        </w:tc>
      </w:tr>
      <w:tr>
        <w:tc>
          <w:tcPr>
            <w:tcW w:type="dxa" w:w="4536"/>
            <w:shd w:val="clear" w:color="auto" w:fill="1F497D"/>
            <w:vAlign w:val="center"/>
          </w:tcPr>
          <w:p>
            <w:r>
              <w:rPr>
                <w:b/>
                <w:color w:val="FFFFFF"/>
                <w:sz w:val="18"/>
              </w:rPr>
              <w:t>State / Territory</w:t>
            </w:r>
          </w:p>
        </w:tc>
        <w:tc>
          <w:tcPr>
            <w:tcW w:type="dxa" w:w="4536"/>
          </w:tcPr>
          <w:p>
            <w:r>
              <w:rPr>
                <w:sz w:val="18"/>
              </w:rPr>
              <w:t>SA</w:t>
            </w:r>
          </w:p>
        </w:tc>
      </w:tr>
      <w:tr>
        <w:tc>
          <w:tcPr>
            <w:tcW w:type="dxa" w:w="4536"/>
            <w:shd w:val="clear" w:color="auto" w:fill="1F497D"/>
            <w:vAlign w:val="center"/>
          </w:tcPr>
          <w:p>
            <w:r>
              <w:rPr>
                <w:b/>
                <w:color w:val="FFFFFF"/>
                <w:sz w:val="18"/>
              </w:rPr>
              <w:t>Property Address</w:t>
            </w:r>
          </w:p>
        </w:tc>
        <w:tc>
          <w:tcPr>
            <w:tcW w:type="dxa" w:w="4536"/>
          </w:tcPr>
          <w:p>
            <w:r>
              <w:rPr>
                <w:sz w:val="18"/>
              </w:rPr>
              <w:t>78 Lincoln Highway, Port Lincoln SA 5606</w:t>
            </w:r>
          </w:p>
        </w:tc>
      </w:tr>
      <w:tr>
        <w:tc>
          <w:tcPr>
            <w:tcW w:type="dxa" w:w="4536"/>
            <w:shd w:val="clear" w:color="auto" w:fill="1F497D"/>
            <w:vAlign w:val="center"/>
          </w:tcPr>
          <w:p>
            <w:r>
              <w:rPr>
                <w:b/>
                <w:color w:val="FFFFFF"/>
                <w:sz w:val="18"/>
              </w:rPr>
              <w:t>Registered Commodity</w:t>
            </w:r>
          </w:p>
        </w:tc>
        <w:tc>
          <w:tcPr>
            <w:tcW w:type="dxa" w:w="4536"/>
          </w:tcPr>
          <w:p>
            <w:r>
              <w:rPr>
                <w:sz w:val="18"/>
              </w:rPr>
              <w:t>Almonds</w:t>
            </w:r>
          </w:p>
        </w:tc>
      </w:tr>
      <w:tr>
        <w:tc>
          <w:tcPr>
            <w:tcW w:type="dxa" w:w="4536"/>
            <w:shd w:val="clear" w:color="auto" w:fill="1F497D"/>
            <w:vAlign w:val="center"/>
          </w:tcPr>
          <w:p>
            <w:r>
              <w:rPr>
                <w:b/>
                <w:color w:val="FFFFFF"/>
                <w:sz w:val="18"/>
              </w:rPr>
              <w:t>Operation Type</w:t>
            </w:r>
          </w:p>
        </w:tc>
        <w:tc>
          <w:tcPr>
            <w:tcW w:type="dxa" w:w="4536"/>
          </w:tcPr>
          <w:p>
            <w:r>
              <w:rPr>
                <w:sz w:val="18"/>
              </w:rPr>
              <w:t>Nut</w:t>
            </w:r>
          </w:p>
        </w:tc>
      </w:tr>
      <w:tr>
        <w:tc>
          <w:tcPr>
            <w:tcW w:type="dxa" w:w="4536"/>
            <w:shd w:val="clear" w:color="auto" w:fill="1F497D"/>
            <w:vAlign w:val="center"/>
          </w:tcPr>
          <w:p>
            <w:r>
              <w:rPr>
                <w:b/>
                <w:color w:val="FFFFFF"/>
                <w:sz w:val="18"/>
              </w:rPr>
              <w:t>Responsible Officer</w:t>
            </w:r>
          </w:p>
        </w:tc>
        <w:tc>
          <w:tcPr>
            <w:tcW w:type="dxa" w:w="4536"/>
          </w:tcPr>
          <w:p>
            <w:r>
              <w:rPr>
                <w:sz w:val="18"/>
              </w:rPr>
              <w:t>Angela Park</w:t>
            </w:r>
          </w:p>
        </w:tc>
      </w:tr>
      <w:tr>
        <w:tc>
          <w:tcPr>
            <w:tcW w:type="dxa" w:w="4536"/>
            <w:shd w:val="clear" w:color="auto" w:fill="1F497D"/>
            <w:vAlign w:val="center"/>
          </w:tcPr>
          <w:p>
            <w:r>
              <w:rPr>
                <w:b/>
                <w:color w:val="FFFFFF"/>
                <w:sz w:val="18"/>
              </w:rPr>
              <w:t>Property Area</w:t>
            </w:r>
          </w:p>
        </w:tc>
        <w:tc>
          <w:tcPr>
            <w:tcW w:type="dxa" w:w="4536"/>
          </w:tcPr>
          <w:p>
            <w:r>
              <w:rPr>
                <w:sz w:val="18"/>
              </w:rPr>
              <w:t>540.0 ha</w:t>
            </w:r>
          </w:p>
        </w:tc>
      </w:tr>
      <w:tr>
        <w:tc>
          <w:tcPr>
            <w:tcW w:type="dxa" w:w="4536"/>
            <w:shd w:val="clear" w:color="auto" w:fill="1F497D"/>
            <w:vAlign w:val="center"/>
          </w:tcPr>
          <w:p>
            <w:r>
              <w:rPr>
                <w:b/>
                <w:color w:val="FFFFFF"/>
                <w:sz w:val="18"/>
              </w:rPr>
              <w:t>Document Version</w:t>
            </w:r>
          </w:p>
        </w:tc>
        <w:tc>
          <w:tcPr>
            <w:tcW w:type="dxa" w:w="4536"/>
          </w:tcPr>
          <w:p>
            <w:r>
              <w:rPr>
                <w:sz w:val="18"/>
              </w:rPr>
              <w:t>3.2</w:t>
            </w:r>
          </w:p>
        </w:tc>
      </w:tr>
      <w:tr>
        <w:tc>
          <w:tcPr>
            <w:tcW w:type="dxa" w:w="4536"/>
            <w:shd w:val="clear" w:color="auto" w:fill="1F497D"/>
            <w:vAlign w:val="center"/>
          </w:tcPr>
          <w:p>
            <w:r>
              <w:rPr>
                <w:b/>
                <w:color w:val="FFFFFF"/>
                <w:sz w:val="18"/>
              </w:rPr>
              <w:t>Plan Date</w:t>
            </w:r>
          </w:p>
        </w:tc>
        <w:tc>
          <w:tcPr>
            <w:tcW w:type="dxa" w:w="4536"/>
          </w:tcPr>
          <w:p>
            <w:r>
              <w:rPr>
                <w:sz w:val="18"/>
              </w:rPr>
              <w:t>6 March 2025</w:t>
            </w:r>
          </w:p>
        </w:tc>
      </w:tr>
      <w:tr>
        <w:tc>
          <w:tcPr>
            <w:tcW w:type="dxa" w:w="4536"/>
            <w:shd w:val="clear" w:color="auto" w:fill="1F497D"/>
            <w:vAlign w:val="center"/>
          </w:tcPr>
          <w:p>
            <w:r>
              <w:rPr>
                <w:b/>
                <w:color w:val="FFFFFF"/>
                <w:sz w:val="18"/>
              </w:rPr>
              <w:t>Next Review</w:t>
            </w:r>
          </w:p>
        </w:tc>
        <w:tc>
          <w:tcPr>
            <w:tcW w:type="dxa" w:w="4536"/>
          </w:tcPr>
          <w:p>
            <w:r>
              <w:rPr>
                <w:sz w:val="18"/>
              </w:rPr>
              <w:t>6 March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Eyre Peninsula Exports Trust used in nut processing and packing operations for export Almonds.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Almonds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Angela Park</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 Intake Area</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nut debris, hulls, shells. Sweep floor and conveyor. Clear pit.</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Receival Staff</w:t>
            </w:r>
          </w:p>
        </w:tc>
        <w:tc>
          <w:tcPr>
            <w:tcW w:type="dxa" w:w="1512"/>
            <w:shd w:val="clear" w:color="auto" w:fill="FFFFFF"/>
            <w:vAlign w:val="top"/>
            <w:tcW w:w="1530" w:type="dxa"/>
          </w:tcPr>
          <w:p>
            <w:r>
              <w:rPr>
                <w:sz w:val="18"/>
              </w:rPr>
              <w:t>Intake record</w:t>
            </w:r>
          </w:p>
        </w:tc>
      </w:tr>
      <w:tr>
        <w:tc>
          <w:tcPr>
            <w:tcW w:type="dxa" w:w="1512"/>
            <w:shd w:val="clear" w:color="auto" w:fill="F2F2F2"/>
            <w:vAlign w:val="top"/>
            <w:tcW w:w="2154" w:type="dxa"/>
          </w:tcPr>
          <w:p>
            <w:r>
              <w:rPr>
                <w:sz w:val="18"/>
              </w:rPr>
              <w:t>Huller / Cracker / Sheller</w:t>
            </w:r>
          </w:p>
        </w:tc>
        <w:tc>
          <w:tcPr>
            <w:tcW w:type="dxa" w:w="1512"/>
            <w:shd w:val="clear" w:color="auto" w:fill="F2F2F2"/>
            <w:vAlign w:val="top"/>
            <w:tcW w:w="1417" w:type="dxa"/>
          </w:tcPr>
          <w:p>
            <w:r>
              <w:rPr>
                <w:sz w:val="18"/>
              </w:rPr>
              <w:t>After each run</w:t>
            </w:r>
          </w:p>
        </w:tc>
        <w:tc>
          <w:tcPr>
            <w:tcW w:type="dxa" w:w="1512"/>
            <w:shd w:val="clear" w:color="auto" w:fill="F2F2F2"/>
            <w:vAlign w:val="top"/>
            <w:tcW w:w="3118" w:type="dxa"/>
          </w:tcPr>
          <w:p>
            <w:r>
              <w:rPr>
                <w:sz w:val="18"/>
              </w:rPr>
              <w:t>Dismantle screens and access panels. Remove residue. Wipe rollers and blades.</w:t>
            </w:r>
          </w:p>
        </w:tc>
        <w:tc>
          <w:tcPr>
            <w:tcW w:type="dxa" w:w="1512"/>
            <w:shd w:val="clear" w:color="auto" w:fill="F2F2F2"/>
            <w:vAlign w:val="top"/>
            <w:tcW w:w="1814" w:type="dxa"/>
          </w:tcPr>
          <w:p>
            <w:r>
              <w:rPr>
                <w:sz w:val="18"/>
              </w:rPr>
              <w:t>BioDegreaser FD (1:25) + rinse</w:t>
            </w:r>
          </w:p>
        </w:tc>
        <w:tc>
          <w:tcPr>
            <w:tcW w:type="dxa" w:w="1512"/>
            <w:shd w:val="clear" w:color="auto" w:fill="F2F2F2"/>
            <w:vAlign w:val="top"/>
            <w:tcW w:w="1587" w:type="dxa"/>
          </w:tcPr>
          <w:p>
            <w:r>
              <w:rPr>
                <w:sz w:val="18"/>
              </w:rPr>
              <w:t>Processing Operator</w:t>
            </w:r>
          </w:p>
        </w:tc>
        <w:tc>
          <w:tcPr>
            <w:tcW w:type="dxa" w:w="1512"/>
            <w:shd w:val="clear" w:color="auto" w:fill="F2F2F2"/>
            <w:vAlign w:val="top"/>
            <w:tcW w:w="1530" w:type="dxa"/>
          </w:tcPr>
          <w:p>
            <w:r>
              <w:rPr>
                <w:sz w:val="18"/>
              </w:rPr>
              <w:t>Equipment cleaning log</w:t>
            </w:r>
          </w:p>
        </w:tc>
      </w:tr>
      <w:tr>
        <w:tc>
          <w:tcPr>
            <w:tcW w:type="dxa" w:w="1512"/>
            <w:shd w:val="clear" w:color="auto" w:fill="FFFFFF"/>
            <w:vAlign w:val="top"/>
            <w:tcW w:w="2154" w:type="dxa"/>
          </w:tcPr>
          <w:p>
            <w:r>
              <w:rPr>
                <w:sz w:val="18"/>
              </w:rPr>
              <w:t>Grading &amp; Sizing Equipment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Clear product from screens. Brush surfaces. Wipe down conveyor belts and rollers.</w:t>
            </w:r>
          </w:p>
        </w:tc>
        <w:tc>
          <w:tcPr>
            <w:tcW w:type="dxa" w:w="1512"/>
            <w:shd w:val="clear" w:color="auto" w:fill="FFFFFF"/>
            <w:vAlign w:val="top"/>
            <w:tcW w:w="1814" w:type="dxa"/>
          </w:tcPr>
          <w:p>
            <w:r>
              <w:rPr>
                <w:sz w:val="18"/>
              </w:rPr>
              <w:t>EnzymeClear (1:20)</w:t>
            </w:r>
          </w:p>
        </w:tc>
        <w:tc>
          <w:tcPr>
            <w:tcW w:type="dxa" w:w="1512"/>
            <w:shd w:val="clear" w:color="auto" w:fill="FFFFFF"/>
            <w:vAlign w:val="top"/>
            <w:tcW w:w="1587" w:type="dxa"/>
          </w:tcPr>
          <w:p>
            <w:r>
              <w:rPr>
                <w:sz w:val="18"/>
              </w:rPr>
              <w:t>Grading Operator</w:t>
            </w:r>
          </w:p>
        </w:tc>
        <w:tc>
          <w:tcPr>
            <w:tcW w:type="dxa" w:w="1512"/>
            <w:shd w:val="clear" w:color="auto" w:fill="FFFFFF"/>
            <w:vAlign w:val="top"/>
            <w:tcW w:w="1530" w:type="dxa"/>
          </w:tcPr>
          <w:p>
            <w:r>
              <w:rPr>
                <w:sz w:val="18"/>
              </w:rPr>
              <w:t>Run record</w:t>
            </w:r>
          </w:p>
        </w:tc>
      </w:tr>
      <w:tr>
        <w:tc>
          <w:tcPr>
            <w:tcW w:type="dxa" w:w="1512"/>
            <w:shd w:val="clear" w:color="auto" w:fill="F2F2F2"/>
            <w:vAlign w:val="top"/>
            <w:tcW w:w="2154" w:type="dxa"/>
          </w:tcPr>
          <w:p>
            <w:r>
              <w:rPr>
                <w:sz w:val="18"/>
              </w:rPr>
              <w:t>Drying Area / Pads / Dryer</w:t>
            </w:r>
          </w:p>
        </w:tc>
        <w:tc>
          <w:tcPr>
            <w:tcW w:type="dxa" w:w="1512"/>
            <w:shd w:val="clear" w:color="auto" w:fill="F2F2F2"/>
            <w:vAlign w:val="top"/>
            <w:tcW w:w="1417" w:type="dxa"/>
          </w:tcPr>
          <w:p>
            <w:r>
              <w:rPr>
                <w:sz w:val="18"/>
              </w:rPr>
              <w:t>After each drying cycle</w:t>
            </w:r>
          </w:p>
        </w:tc>
        <w:tc>
          <w:tcPr>
            <w:tcW w:type="dxa" w:w="1512"/>
            <w:shd w:val="clear" w:color="auto" w:fill="F2F2F2"/>
            <w:vAlign w:val="top"/>
            <w:tcW w:w="3118" w:type="dxa"/>
          </w:tcPr>
          <w:p>
            <w:r>
              <w:rPr>
                <w:sz w:val="18"/>
              </w:rPr>
              <w:t>Remove nut skins and debris. Clean dryer mesh or tray surfaces.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Drying Supervisor</w:t>
            </w:r>
          </w:p>
        </w:tc>
        <w:tc>
          <w:tcPr>
            <w:tcW w:type="dxa" w:w="1512"/>
            <w:shd w:val="clear" w:color="auto" w:fill="F2F2F2"/>
            <w:vAlign w:val="top"/>
            <w:tcW w:w="1530" w:type="dxa"/>
          </w:tcPr>
          <w:p>
            <w:r>
              <w:rPr>
                <w:sz w:val="18"/>
              </w:rPr>
              <w:t>Drying log</w:t>
            </w:r>
          </w:p>
        </w:tc>
      </w:tr>
      <w:tr>
        <w:tc>
          <w:tcPr>
            <w:tcW w:type="dxa" w:w="1512"/>
            <w:shd w:val="clear" w:color="auto" w:fill="FFFFFF"/>
            <w:vAlign w:val="top"/>
            <w:tcW w:w="2154" w:type="dxa"/>
          </w:tcPr>
          <w:p>
            <w:r>
              <w:rPr>
                <w:sz w:val="18"/>
              </w:rPr>
              <w:t>Storage Bins / Holding Area</w:t>
            </w:r>
          </w:p>
        </w:tc>
        <w:tc>
          <w:tcPr>
            <w:tcW w:type="dxa" w:w="1512"/>
            <w:shd w:val="clear" w:color="auto" w:fill="FFFFFF"/>
            <w:vAlign w:val="top"/>
            <w:tcW w:w="1417" w:type="dxa"/>
          </w:tcPr>
          <w:p>
            <w:r>
              <w:rPr>
                <w:sz w:val="18"/>
              </w:rPr>
              <w:t>Between commodity lots</w:t>
            </w:r>
          </w:p>
        </w:tc>
        <w:tc>
          <w:tcPr>
            <w:tcW w:type="dxa" w:w="1512"/>
            <w:shd w:val="clear" w:color="auto" w:fill="FFFFFF"/>
            <w:vAlign w:val="top"/>
            <w:tcW w:w="3118" w:type="dxa"/>
          </w:tcPr>
          <w:p>
            <w:r>
              <w:rPr>
                <w:sz w:val="18"/>
              </w:rPr>
              <w:t>Full physical sweep of bin walls and floor. Inspect for residue and pest signs.</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Storage Manager</w:t>
            </w:r>
          </w:p>
        </w:tc>
        <w:tc>
          <w:tcPr>
            <w:tcW w:type="dxa" w:w="1512"/>
            <w:shd w:val="clear" w:color="auto" w:fill="FFFFFF"/>
            <w:vAlign w:val="top"/>
            <w:tcW w:w="1530" w:type="dxa"/>
          </w:tcPr>
          <w:p>
            <w:r>
              <w:rPr>
                <w:sz w:val="18"/>
              </w:rPr>
              <w:t>Pre-loading checklist</w:t>
            </w:r>
          </w:p>
        </w:tc>
      </w:tr>
      <w:tr>
        <w:tc>
          <w:tcPr>
            <w:tcW w:type="dxa" w:w="1512"/>
            <w:shd w:val="clear" w:color="auto" w:fill="F2F2F2"/>
            <w:vAlign w:val="top"/>
            <w:tcW w:w="2154" w:type="dxa"/>
          </w:tcPr>
          <w:p>
            <w:r>
              <w:rPr>
                <w:sz w:val="18"/>
              </w:rPr>
              <w:t>Packing Line / Packaging Area</w:t>
            </w:r>
          </w:p>
        </w:tc>
        <w:tc>
          <w:tcPr>
            <w:tcW w:type="dxa" w:w="1512"/>
            <w:shd w:val="clear" w:color="auto" w:fill="F2F2F2"/>
            <w:vAlign w:val="top"/>
            <w:tcW w:w="1417" w:type="dxa"/>
          </w:tcPr>
          <w:p>
            <w:r>
              <w:rPr>
                <w:sz w:val="18"/>
              </w:rPr>
              <w:t>End of each shift</w:t>
            </w:r>
          </w:p>
        </w:tc>
        <w:tc>
          <w:tcPr>
            <w:tcW w:type="dxa" w:w="1512"/>
            <w:shd w:val="clear" w:color="auto" w:fill="F2F2F2"/>
            <w:vAlign w:val="top"/>
            <w:tcW w:w="3118" w:type="dxa"/>
          </w:tcPr>
          <w:p>
            <w:r>
              <w:rPr>
                <w:sz w:val="18"/>
              </w:rPr>
              <w:t>Remove nut fragments from conveyor, scales, packing tables. Sweep floor.</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Shift cleaning log</w:t>
            </w:r>
          </w:p>
        </w:tc>
      </w:tr>
      <w:tr>
        <w:tc>
          <w:tcPr>
            <w:tcW w:type="dxa" w:w="1512"/>
            <w:shd w:val="clear" w:color="auto" w:fill="FFFFFF"/>
            <w:vAlign w:val="top"/>
            <w:tcW w:w="2154" w:type="dxa"/>
          </w:tcPr>
          <w:p>
            <w:r>
              <w:rPr>
                <w:sz w:val="18"/>
              </w:rPr>
              <w:t>Amenities / Toilets / Lunchroom</w:t>
            </w:r>
          </w:p>
        </w:tc>
        <w:tc>
          <w:tcPr>
            <w:tcW w:type="dxa" w:w="1512"/>
            <w:shd w:val="clear" w:color="auto" w:fill="FFFFFF"/>
            <w:vAlign w:val="top"/>
            <w:tcW w:w="1417" w:type="dxa"/>
          </w:tcPr>
          <w:p>
            <w:r>
              <w:rPr>
                <w:sz w:val="18"/>
              </w:rPr>
              <w:t>Daily</w:t>
            </w:r>
          </w:p>
        </w:tc>
        <w:tc>
          <w:tcPr>
            <w:tcW w:type="dxa" w:w="1512"/>
            <w:shd w:val="clear" w:color="auto" w:fill="FFFFFF"/>
            <w:vAlign w:val="top"/>
            <w:tcW w:w="3118" w:type="dxa"/>
          </w:tcPr>
          <w:p>
            <w:r>
              <w:rPr>
                <w:sz w:val="18"/>
              </w:rPr>
              <w:t>Clean surfaces, basins, toilets, floors. Refill soap.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All staff</w:t>
            </w:r>
          </w:p>
        </w:tc>
        <w:tc>
          <w:tcPr>
            <w:tcW w:type="dxa" w:w="1512"/>
            <w:shd w:val="clear" w:color="auto" w:fill="FFFFFF"/>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 Intake Area</w:t>
      </w:r>
    </w:p>
    <w:p>
      <w:r>
        <w:rPr>
          <w:b w:val="0"/>
          <w:i w:val="0"/>
          <w:sz w:val="20"/>
        </w:rPr>
        <w:t>Designated staff are responsible for maintaining the Receival / Intake Area in a clean and hygienic condition following each production run or daily as scheduled. Appropriate cleaning agents at specified dilutions shall be used. Completed cleaning activities are to be recorded in the site cleaning log.</w:t>
      </w:r>
    </w:p>
    <w:p>
      <w:pPr>
        <w:pStyle w:val="Heading2"/>
      </w:pPr>
      <w:r>
        <w:t>Huller / Cracker / Sheller</w:t>
      </w:r>
    </w:p>
    <w:p>
      <w:r>
        <w:rPr>
          <w:b w:val="0"/>
          <w:i w:val="0"/>
          <w:sz w:val="20"/>
        </w:rPr>
        <w:t>After each production run: Power off and lock out drive before opening. Dismantle outer access panels. Remove nut residue, shell fragments, and skin from rollers, screens, and internal surfaces using a stiff brush. Prepare BioDegreaser FD at 1:25. Apply to metal surfaces where oil residue is present. Contact time 5 minutes. Rinse with water. Allow to dry before reassembly. Record in Equipment Cleaning Log.</w:t>
      </w:r>
    </w:p>
    <w:p>
      <w:pPr>
        <w:pStyle w:val="Heading2"/>
      </w:pPr>
      <w:r>
        <w:t>Grading &amp; Sizing Equipment</w:t>
      </w:r>
    </w:p>
    <w:p>
      <w:r>
        <w:rPr>
          <w:b w:val="0"/>
          <w:i w:val="0"/>
          <w:sz w:val="20"/>
        </w:rPr>
        <w:t>After each run: Clear all nut product from grading screens and conveyor belts. Brush screens using designated nut-cleaning brush to remove embedded skins and fragments. Prepare EnzymeClear at 1:20 in a spray bottle. Spray conveyor belt and rollers. Wipe with clean cloth. Inspect for any remaining organic residue. Record in Run Record.</w:t>
      </w:r>
    </w:p>
    <w:p>
      <w:pPr>
        <w:pStyle w:val="Heading2"/>
      </w:pPr>
      <w:r>
        <w:t>Drying Area / Pads / Dryer</w:t>
      </w:r>
    </w:p>
    <w:p>
      <w:r>
        <w:rPr>
          <w:b w:val="0"/>
          <w:i w:val="0"/>
          <w:sz w:val="20"/>
        </w:rPr>
        <w:t>Designated staff are responsible for maintaining the Drying Area / Pads / Dryer in a clean and hygienic condition following each production run or daily as scheduled. Appropriate cleaning agents at specified dilutions shall be used. Completed cleaning activities are to be recorded in the site cleaning log.</w:t>
      </w:r>
    </w:p>
    <w:p>
      <w:pPr>
        <w:pStyle w:val="Heading2"/>
      </w:pPr>
      <w:r>
        <w:t>Storage Bins / Holding Area</w:t>
      </w:r>
    </w:p>
    <w:p>
      <w:r>
        <w:rPr>
          <w:b w:val="0"/>
          <w:i w:val="0"/>
          <w:sz w:val="20"/>
        </w:rPr>
        <w:t>Between commodity lots: Inspect and clean storage bins before loading a new nut commodity. Using industrial vacuum, remove all residual nut material from bin walls, seams, and floor. Inspect for pest activity (insect frass, rodent droppings). Storage Manager signs pre-loading checklist confirming bin is clean and free of pests.</w:t>
      </w:r>
    </w:p>
    <w:p/>
    <w:p>
      <w:pPr>
        <w:pStyle w:val="Heading1"/>
      </w:pPr>
      <w:r>
        <w:rPr>
          <w:color w:val="1F497D"/>
        </w:rPr>
        <w:t>6.  MANAGEMENT OF RESIDUES AND DEAD-STOCK ZONES</w:t>
      </w:r>
    </w:p>
    <w:p>
      <w:r>
        <w:rPr>
          <w:b w:val="0"/>
          <w:i w:val="0"/>
          <w:sz w:val="20"/>
        </w:rPr>
        <w:t>Dead-stock zones include the inner drum of hulling and cracking equipment, under-belt spaces on grading conveyors, and the floor beneath dryer trays. Nut oil residue and fine skin particles accumulate in these areas and require periodic disassembly cleaning.</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storage areas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BioDegreaser FD Food-Grade</w:t>
            </w:r>
          </w:p>
        </w:tc>
        <w:tc>
          <w:tcPr>
            <w:tcW w:type="dxa" w:w="1512"/>
            <w:shd w:val="clear" w:color="auto" w:fill="F2F2F2"/>
            <w:vAlign w:val="top"/>
            <w:tcW w:w="1984" w:type="dxa"/>
          </w:tcPr>
          <w:p>
            <w:r>
              <w:rPr>
                <w:sz w:val="18"/>
              </w:rPr>
              <w:t>CleanTech Aust</w:t>
            </w:r>
          </w:p>
        </w:tc>
        <w:tc>
          <w:tcPr>
            <w:tcW w:type="dxa" w:w="1512"/>
            <w:shd w:val="clear" w:color="auto" w:fill="F2F2F2"/>
            <w:vAlign w:val="top"/>
            <w:tcW w:w="1701" w:type="dxa"/>
          </w:tcPr>
          <w:p>
            <w:r>
              <w:rPr>
                <w:sz w:val="18"/>
              </w:rPr>
              <w:t>Food-grade degreaser</w:t>
            </w:r>
          </w:p>
        </w:tc>
        <w:tc>
          <w:tcPr>
            <w:tcW w:type="dxa" w:w="1512"/>
            <w:shd w:val="clear" w:color="auto" w:fill="F2F2F2"/>
            <w:vAlign w:val="top"/>
            <w:tcW w:w="1417" w:type="dxa"/>
          </w:tcPr>
          <w:p>
            <w:r>
              <w:rPr>
                <w:sz w:val="18"/>
              </w:rPr>
              <w:t>1:25 in water</w:t>
            </w:r>
          </w:p>
        </w:tc>
        <w:tc>
          <w:tcPr>
            <w:tcW w:type="dxa" w:w="1512"/>
            <w:shd w:val="clear" w:color="auto" w:fill="F2F2F2"/>
            <w:vAlign w:val="top"/>
            <w:tcW w:w="2268" w:type="dxa"/>
          </w:tcPr>
          <w:p>
            <w:r>
              <w:rPr>
                <w:sz w:val="18"/>
              </w:rPr>
              <w:t>Huller, cracker, sheller components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EnzymeClear Organic Remover</w:t>
            </w:r>
          </w:p>
        </w:tc>
        <w:tc>
          <w:tcPr>
            <w:tcW w:type="dxa" w:w="1512"/>
            <w:shd w:val="clear" w:color="auto" w:fill="FFFFFF"/>
            <w:vAlign w:val="top"/>
            <w:tcW w:w="1984" w:type="dxa"/>
          </w:tcPr>
          <w:p>
            <w:r>
              <w:rPr>
                <w:sz w:val="18"/>
              </w:rPr>
              <w:t>FoodSafe Solutions</w:t>
            </w:r>
          </w:p>
        </w:tc>
        <w:tc>
          <w:tcPr>
            <w:tcW w:type="dxa" w:w="1512"/>
            <w:shd w:val="clear" w:color="auto" w:fill="FFFFFF"/>
            <w:vAlign w:val="top"/>
            <w:tcW w:w="1701" w:type="dxa"/>
          </w:tcPr>
          <w:p>
            <w:r>
              <w:rPr>
                <w:sz w:val="18"/>
              </w:rPr>
              <w:t>Enzyme cleaner</w:t>
            </w:r>
          </w:p>
        </w:tc>
        <w:tc>
          <w:tcPr>
            <w:tcW w:type="dxa" w:w="1512"/>
            <w:shd w:val="clear" w:color="auto" w:fill="FFFFFF"/>
            <w:vAlign w:val="top"/>
            <w:tcW w:w="1417" w:type="dxa"/>
          </w:tcPr>
          <w:p>
            <w:r>
              <w:rPr>
                <w:sz w:val="18"/>
              </w:rPr>
              <w:t>1:20 in water</w:t>
            </w:r>
          </w:p>
        </w:tc>
        <w:tc>
          <w:tcPr>
            <w:tcW w:type="dxa" w:w="1512"/>
            <w:shd w:val="clear" w:color="auto" w:fill="FFFFFF"/>
            <w:vAlign w:val="top"/>
            <w:tcW w:w="2268" w:type="dxa"/>
          </w:tcPr>
          <w:p>
            <w:r>
              <w:rPr>
                <w:sz w:val="18"/>
              </w:rPr>
              <w:t>Grading equipment, conveyor belts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Packing tables, amenities</w:t>
            </w:r>
          </w:p>
        </w:tc>
        <w:tc>
          <w:tcPr>
            <w:tcW w:type="dxa" w:w="1512"/>
            <w:shd w:val="clear" w:color="auto" w:fill="F2F2F2"/>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Independent third-party hygiene audits are conducted twice annually. Between audits, internal verification is carried out by the establishment manager using a standardised checklist.</w:t>
      </w:r>
    </w:p>
    <w:p/>
    <w:p>
      <w:pPr>
        <w:pStyle w:val="Heading1"/>
      </w:pPr>
      <w:r>
        <w:rPr>
          <w:color w:val="1F497D"/>
        </w:rPr>
        <w:t>10.  NON-CONFORMANCE AND CORRECTIVE ACTION</w:t>
      </w:r>
    </w:p>
    <w:p>
      <w:r>
        <w:rPr>
          <w:b w:val="0"/>
          <w:i w:val="0"/>
          <w:sz w:val="20"/>
        </w:rPr>
        <w:t>Where a cleaning deficiency is identified, the affected area is immediately re-cleaned before any product handling recommences. The deficiency, cause, and corrective action taken are recorded in the Non-Conformance Register. Repeat occurrences trigger a review of the relevant SOP.</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At the most recent internal inspection (6 March 2025), all areas of Eyre Peninsula Exports Trust were found to be in a clean and hygienic condition consistent with the requirements of this plan. No deficiencies were identified.</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Angela Park</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6 March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6 March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