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Yorke Grain and Pulse</w:t>
            </w:r>
          </w:p>
        </w:tc>
      </w:tr>
      <w:tr>
        <w:tc>
          <w:tcPr>
            <w:tcW w:type="dxa" w:w="3118"/>
            <w:shd w:val="clear" w:color="auto" w:fill="DCE6F1"/>
          </w:tcPr>
          <w:p>
            <w:r>
              <w:rPr>
                <w:b/>
                <w:sz w:val="18"/>
              </w:rPr>
              <w:t>RE Number</w:t>
            </w:r>
          </w:p>
        </w:tc>
        <w:tc>
          <w:tcPr>
            <w:tcW w:type="dxa" w:w="6236"/>
          </w:tcPr>
          <w:p>
            <w:r>
              <w:rPr>
                <w:sz w:val="18"/>
              </w:rPr>
              <w:t>RE-SA-2022-0033</w:t>
            </w:r>
          </w:p>
        </w:tc>
      </w:tr>
      <w:tr>
        <w:tc>
          <w:tcPr>
            <w:tcW w:type="dxa" w:w="3118"/>
            <w:shd w:val="clear" w:color="auto" w:fill="DCE6F1"/>
          </w:tcPr>
          <w:p>
            <w:r>
              <w:rPr>
                <w:b/>
                <w:sz w:val="18"/>
              </w:rPr>
              <w:t>State</w:t>
            </w:r>
          </w:p>
        </w:tc>
        <w:tc>
          <w:tcPr>
            <w:tcW w:type="dxa" w:w="6236"/>
            <w:shd w:val="clear" w:color="auto" w:fill="F2F2F2"/>
          </w:tcPr>
          <w:p>
            <w:r>
              <w:rPr>
                <w:sz w:val="18"/>
              </w:rPr>
              <w:t>SA</w:t>
            </w:r>
          </w:p>
        </w:tc>
      </w:tr>
      <w:tr>
        <w:tc>
          <w:tcPr>
            <w:tcW w:type="dxa" w:w="3118"/>
            <w:shd w:val="clear" w:color="auto" w:fill="DCE6F1"/>
          </w:tcPr>
          <w:p>
            <w:r>
              <w:rPr>
                <w:b/>
                <w:sz w:val="18"/>
              </w:rPr>
              <w:t>Property Address</w:t>
            </w:r>
          </w:p>
        </w:tc>
        <w:tc>
          <w:tcPr>
            <w:tcW w:type="dxa" w:w="6236"/>
          </w:tcPr>
          <w:p>
            <w:r>
              <w:rPr>
                <w:sz w:val="18"/>
              </w:rPr>
              <w:t>88 Port Wakefield Road, Balaklava SA 5461</w:t>
            </w:r>
          </w:p>
        </w:tc>
      </w:tr>
      <w:tr>
        <w:tc>
          <w:tcPr>
            <w:tcW w:type="dxa" w:w="3118"/>
            <w:shd w:val="clear" w:color="auto" w:fill="DCE6F1"/>
          </w:tcPr>
          <w:p>
            <w:r>
              <w:rPr>
                <w:b/>
                <w:sz w:val="18"/>
              </w:rPr>
              <w:t>Registered Commodity</w:t>
            </w:r>
          </w:p>
        </w:tc>
        <w:tc>
          <w:tcPr>
            <w:tcW w:type="dxa" w:w="6236"/>
            <w:shd w:val="clear" w:color="auto" w:fill="F2F2F2"/>
          </w:tcPr>
          <w:p>
            <w:r>
              <w:rPr>
                <w:sz w:val="18"/>
              </w:rPr>
              <w:t>Canola Seed</w:t>
            </w:r>
          </w:p>
        </w:tc>
      </w:tr>
      <w:tr>
        <w:tc>
          <w:tcPr>
            <w:tcW w:type="dxa" w:w="3118"/>
            <w:shd w:val="clear" w:color="auto" w:fill="DCE6F1"/>
          </w:tcPr>
          <w:p>
            <w:r>
              <w:rPr>
                <w:b/>
                <w:sz w:val="18"/>
              </w:rPr>
              <w:t>Map Version</w:t>
            </w:r>
          </w:p>
        </w:tc>
        <w:tc>
          <w:tcPr>
            <w:tcW w:type="dxa" w:w="6236"/>
          </w:tcPr>
          <w:p>
            <w:r>
              <w:rPr>
                <w:sz w:val="18"/>
              </w:rPr>
              <w:t>v1.4</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QA Coordinator</w:t>
            </w:r>
          </w:p>
        </w:tc>
      </w:tr>
    </w:tbl>
    <w:p/>
    <w:p>
      <w:pPr>
        <w:spacing w:before="200" w:after="60"/>
      </w:pPr>
      <w:r>
        <w:rPr>
          <w:b/>
          <w:color w:val="1F497D"/>
          <w:sz w:val="26"/>
        </w:rPr>
        <w:t>1. Pest Control System Overview</w:t>
      </w:r>
    </w:p>
    <w:p>
      <w:r>
        <w:rPr>
          <w:b w:val="0"/>
          <w:i w:val="0"/>
          <w:sz w:val="18"/>
        </w:rPr>
        <w:t>Integrated pest management applies rodent surveillance using 18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Yorke Grain and Pulse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