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Riverland Grain Services</w:t>
            </w:r>
          </w:p>
        </w:tc>
      </w:tr>
      <w:tr>
        <w:tc>
          <w:tcPr>
            <w:tcW w:type="dxa" w:w="4536"/>
            <w:shd w:val="clear" w:color="auto" w:fill="1F497D"/>
            <w:vAlign w:val="center"/>
          </w:tcPr>
          <w:p>
            <w:r>
              <w:rPr>
                <w:b/>
                <w:color w:val="FFFFFF"/>
                <w:sz w:val="18"/>
              </w:rPr>
              <w:t>RE Number</w:t>
            </w:r>
          </w:p>
        </w:tc>
        <w:tc>
          <w:tcPr>
            <w:tcW w:type="dxa" w:w="4536"/>
          </w:tcPr>
          <w:p>
            <w:r>
              <w:rPr>
                <w:sz w:val="18"/>
              </w:rPr>
              <w:t>RE-SA-2022-0177</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200 Sturt Highway, Renmark SA 5341</w:t>
            </w:r>
          </w:p>
        </w:tc>
      </w:tr>
      <w:tr>
        <w:tc>
          <w:tcPr>
            <w:tcW w:type="dxa" w:w="4536"/>
            <w:shd w:val="clear" w:color="auto" w:fill="1F497D"/>
            <w:vAlign w:val="center"/>
          </w:tcPr>
          <w:p>
            <w:r>
              <w:rPr>
                <w:b/>
                <w:color w:val="FFFFFF"/>
                <w:sz w:val="18"/>
              </w:rPr>
              <w:t>Registered Commodity</w:t>
            </w:r>
          </w:p>
        </w:tc>
        <w:tc>
          <w:tcPr>
            <w:tcW w:type="dxa" w:w="4536"/>
          </w:tcPr>
          <w:p>
            <w:r>
              <w:rPr>
                <w:sz w:val="18"/>
              </w:rPr>
              <w:t>Chickpeas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Craig Filmer</w:t>
            </w:r>
          </w:p>
        </w:tc>
      </w:tr>
      <w:tr>
        <w:tc>
          <w:tcPr>
            <w:tcW w:type="dxa" w:w="4536"/>
            <w:shd w:val="clear" w:color="auto" w:fill="1F497D"/>
            <w:vAlign w:val="center"/>
          </w:tcPr>
          <w:p>
            <w:r>
              <w:rPr>
                <w:b/>
                <w:color w:val="FFFFFF"/>
                <w:sz w:val="18"/>
              </w:rPr>
              <w:t>Property Area</w:t>
            </w:r>
          </w:p>
        </w:tc>
        <w:tc>
          <w:tcPr>
            <w:tcW w:type="dxa" w:w="4536"/>
          </w:tcPr>
          <w:p>
            <w:r>
              <w:rPr>
                <w:sz w:val="18"/>
              </w:rPr>
              <w:t>1400.0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19 February 2025</w:t>
            </w:r>
          </w:p>
        </w:tc>
      </w:tr>
      <w:tr>
        <w:tc>
          <w:tcPr>
            <w:tcW w:type="dxa" w:w="4536"/>
            <w:shd w:val="clear" w:color="auto" w:fill="1F497D"/>
            <w:vAlign w:val="center"/>
          </w:tcPr>
          <w:p>
            <w:r>
              <w:rPr>
                <w:b/>
                <w:color w:val="FFFFFF"/>
                <w:sz w:val="18"/>
              </w:rPr>
              <w:t>Next Review</w:t>
            </w:r>
          </w:p>
        </w:tc>
        <w:tc>
          <w:tcPr>
            <w:tcW w:type="dxa" w:w="4536"/>
          </w:tcPr>
          <w:p>
            <w:r>
              <w:rPr>
                <w:sz w:val="18"/>
              </w:rPr>
              <w:t>19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Riverland Grain Services used in pulse cleaning, storage and packing operations for export Chickpeas.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Chickpeas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Craig Filmer</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Riverland Grain Services completed on 19 February 2025. All areas assessed as compliant with the hygiene standards required for the export of Chickpeas.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Craig Filmer</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19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19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