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Huon Valley Malt</w:t>
            </w:r>
          </w:p>
        </w:tc>
      </w:tr>
      <w:tr>
        <w:tc>
          <w:tcPr>
            <w:tcW w:type="dxa" w:w="4536"/>
            <w:shd w:val="clear" w:color="auto" w:fill="1F497D"/>
            <w:vAlign w:val="center"/>
          </w:tcPr>
          <w:p>
            <w:r>
              <w:rPr>
                <w:b/>
                <w:color w:val="FFFFFF"/>
                <w:sz w:val="18"/>
              </w:rPr>
              <w:t>RE Number</w:t>
            </w:r>
          </w:p>
        </w:tc>
        <w:tc>
          <w:tcPr>
            <w:tcW w:type="dxa" w:w="4536"/>
          </w:tcPr>
          <w:p>
            <w:r>
              <w:rPr>
                <w:sz w:val="18"/>
              </w:rPr>
              <w:t>RE-TAS-2021-0006</w:t>
            </w:r>
          </w:p>
        </w:tc>
      </w:tr>
      <w:tr>
        <w:tc>
          <w:tcPr>
            <w:tcW w:type="dxa" w:w="4536"/>
            <w:shd w:val="clear" w:color="auto" w:fill="1F497D"/>
            <w:vAlign w:val="center"/>
          </w:tcPr>
          <w:p>
            <w:r>
              <w:rPr>
                <w:b/>
                <w:color w:val="FFFFFF"/>
                <w:sz w:val="18"/>
              </w:rPr>
              <w:t>State / Territory</w:t>
            </w:r>
          </w:p>
        </w:tc>
        <w:tc>
          <w:tcPr>
            <w:tcW w:type="dxa" w:w="4536"/>
          </w:tcPr>
          <w:p>
            <w:r>
              <w:rPr>
                <w:sz w:val="18"/>
              </w:rPr>
              <w:t>TAS</w:t>
            </w:r>
          </w:p>
        </w:tc>
      </w:tr>
      <w:tr>
        <w:tc>
          <w:tcPr>
            <w:tcW w:type="dxa" w:w="4536"/>
            <w:shd w:val="clear" w:color="auto" w:fill="1F497D"/>
            <w:vAlign w:val="center"/>
          </w:tcPr>
          <w:p>
            <w:r>
              <w:rPr>
                <w:b/>
                <w:color w:val="FFFFFF"/>
                <w:sz w:val="18"/>
              </w:rPr>
              <w:t>Property Address</w:t>
            </w:r>
          </w:p>
        </w:tc>
        <w:tc>
          <w:tcPr>
            <w:tcW w:type="dxa" w:w="4536"/>
          </w:tcPr>
          <w:p>
            <w:r>
              <w:rPr>
                <w:sz w:val="18"/>
              </w:rPr>
              <w:t>45 Huon Highway, Huonville TAS 7109</w:t>
            </w:r>
          </w:p>
        </w:tc>
      </w:tr>
      <w:tr>
        <w:tc>
          <w:tcPr>
            <w:tcW w:type="dxa" w:w="4536"/>
            <w:shd w:val="clear" w:color="auto" w:fill="1F497D"/>
            <w:vAlign w:val="center"/>
          </w:tcPr>
          <w:p>
            <w:r>
              <w:rPr>
                <w:b/>
                <w:color w:val="FFFFFF"/>
                <w:sz w:val="18"/>
              </w:rPr>
              <w:t>Registered Commodity</w:t>
            </w:r>
          </w:p>
        </w:tc>
        <w:tc>
          <w:tcPr>
            <w:tcW w:type="dxa" w:w="4536"/>
          </w:tcPr>
          <w:p>
            <w:r>
              <w:rPr>
                <w:sz w:val="18"/>
              </w:rPr>
              <w:t>Walnuts</w:t>
            </w:r>
          </w:p>
        </w:tc>
      </w:tr>
      <w:tr>
        <w:tc>
          <w:tcPr>
            <w:tcW w:type="dxa" w:w="4536"/>
            <w:shd w:val="clear" w:color="auto" w:fill="1F497D"/>
            <w:vAlign w:val="center"/>
          </w:tcPr>
          <w:p>
            <w:r>
              <w:rPr>
                <w:b/>
                <w:color w:val="FFFFFF"/>
                <w:sz w:val="18"/>
              </w:rPr>
              <w:t>Operation Type</w:t>
            </w:r>
          </w:p>
        </w:tc>
        <w:tc>
          <w:tcPr>
            <w:tcW w:type="dxa" w:w="4536"/>
          </w:tcPr>
          <w:p>
            <w:r>
              <w:rPr>
                <w:sz w:val="18"/>
              </w:rPr>
              <w:t>Nut</w:t>
            </w:r>
          </w:p>
        </w:tc>
      </w:tr>
      <w:tr>
        <w:tc>
          <w:tcPr>
            <w:tcW w:type="dxa" w:w="4536"/>
            <w:shd w:val="clear" w:color="auto" w:fill="1F497D"/>
            <w:vAlign w:val="center"/>
          </w:tcPr>
          <w:p>
            <w:r>
              <w:rPr>
                <w:b/>
                <w:color w:val="FFFFFF"/>
                <w:sz w:val="18"/>
              </w:rPr>
              <w:t>Responsible Officer</w:t>
            </w:r>
          </w:p>
        </w:tc>
        <w:tc>
          <w:tcPr>
            <w:tcW w:type="dxa" w:w="4536"/>
          </w:tcPr>
          <w:p>
            <w:r>
              <w:rPr>
                <w:sz w:val="18"/>
              </w:rPr>
              <w:t>Jack Foley</w:t>
            </w:r>
          </w:p>
        </w:tc>
      </w:tr>
      <w:tr>
        <w:tc>
          <w:tcPr>
            <w:tcW w:type="dxa" w:w="4536"/>
            <w:shd w:val="clear" w:color="auto" w:fill="1F497D"/>
            <w:vAlign w:val="center"/>
          </w:tcPr>
          <w:p>
            <w:r>
              <w:rPr>
                <w:b/>
                <w:color w:val="FFFFFF"/>
                <w:sz w:val="18"/>
              </w:rPr>
              <w:t>Property Area</w:t>
            </w:r>
          </w:p>
        </w:tc>
        <w:tc>
          <w:tcPr>
            <w:tcW w:type="dxa" w:w="4536"/>
          </w:tcPr>
          <w:p>
            <w:r>
              <w:rPr>
                <w:sz w:val="18"/>
              </w:rPr>
              <w:t>70.0 ha</w:t>
            </w:r>
          </w:p>
        </w:tc>
      </w:tr>
      <w:tr>
        <w:tc>
          <w:tcPr>
            <w:tcW w:type="dxa" w:w="4536"/>
            <w:shd w:val="clear" w:color="auto" w:fill="1F497D"/>
            <w:vAlign w:val="center"/>
          </w:tcPr>
          <w:p>
            <w:r>
              <w:rPr>
                <w:b/>
                <w:color w:val="FFFFFF"/>
                <w:sz w:val="18"/>
              </w:rPr>
              <w:t>Document Version</w:t>
            </w:r>
          </w:p>
        </w:tc>
        <w:tc>
          <w:tcPr>
            <w:tcW w:type="dxa" w:w="4536"/>
          </w:tcPr>
          <w:p>
            <w:r>
              <w:rPr>
                <w:sz w:val="18"/>
              </w:rPr>
              <w:t>3.2</w:t>
            </w:r>
          </w:p>
        </w:tc>
      </w:tr>
      <w:tr>
        <w:tc>
          <w:tcPr>
            <w:tcW w:type="dxa" w:w="4536"/>
            <w:shd w:val="clear" w:color="auto" w:fill="1F497D"/>
            <w:vAlign w:val="center"/>
          </w:tcPr>
          <w:p>
            <w:r>
              <w:rPr>
                <w:b/>
                <w:color w:val="FFFFFF"/>
                <w:sz w:val="18"/>
              </w:rPr>
              <w:t>Plan Date</w:t>
            </w:r>
          </w:p>
        </w:tc>
        <w:tc>
          <w:tcPr>
            <w:tcW w:type="dxa" w:w="4536"/>
          </w:tcPr>
          <w:p>
            <w:r>
              <w:rPr>
                <w:sz w:val="18"/>
              </w:rPr>
              <w:t>27 January 2025</w:t>
            </w:r>
          </w:p>
        </w:tc>
      </w:tr>
      <w:tr>
        <w:tc>
          <w:tcPr>
            <w:tcW w:type="dxa" w:w="4536"/>
            <w:shd w:val="clear" w:color="auto" w:fill="1F497D"/>
            <w:vAlign w:val="center"/>
          </w:tcPr>
          <w:p>
            <w:r>
              <w:rPr>
                <w:b/>
                <w:color w:val="FFFFFF"/>
                <w:sz w:val="18"/>
              </w:rPr>
              <w:t>Next Review</w:t>
            </w:r>
          </w:p>
        </w:tc>
        <w:tc>
          <w:tcPr>
            <w:tcW w:type="dxa" w:w="4536"/>
          </w:tcPr>
          <w:p>
            <w:r>
              <w:rPr>
                <w:sz w:val="18"/>
              </w:rPr>
              <w:t>27 January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Huon Valley Malt used in nut processing and packing operations for export Walnuts.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Walnuts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Jack Foley</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Area</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nut debris, hulls, shells. Sweep floor and conveyor. Clear pit.</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record</w:t>
            </w:r>
          </w:p>
        </w:tc>
      </w:tr>
      <w:tr>
        <w:tc>
          <w:tcPr>
            <w:tcW w:type="dxa" w:w="1512"/>
            <w:shd w:val="clear" w:color="auto" w:fill="F2F2F2"/>
            <w:vAlign w:val="top"/>
            <w:tcW w:w="2154" w:type="dxa"/>
          </w:tcPr>
          <w:p>
            <w:r>
              <w:rPr>
                <w:sz w:val="18"/>
              </w:rPr>
              <w:t>Huller / Cracker / Sheller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Dismantle screens and access panels. Remove residue. Wipe rollers and blades.</w:t>
            </w:r>
          </w:p>
        </w:tc>
        <w:tc>
          <w:tcPr>
            <w:tcW w:type="dxa" w:w="1512"/>
            <w:shd w:val="clear" w:color="auto" w:fill="F2F2F2"/>
            <w:vAlign w:val="top"/>
            <w:tcW w:w="1814" w:type="dxa"/>
          </w:tcPr>
          <w:p>
            <w:r>
              <w:rPr>
                <w:sz w:val="18"/>
              </w:rPr>
              <w:t>BioDegreaser FD (1:25) + rinse</w:t>
            </w:r>
          </w:p>
        </w:tc>
        <w:tc>
          <w:tcPr>
            <w:tcW w:type="dxa" w:w="1512"/>
            <w:shd w:val="clear" w:color="auto" w:fill="F2F2F2"/>
            <w:vAlign w:val="top"/>
            <w:tcW w:w="1587" w:type="dxa"/>
          </w:tcPr>
          <w:p>
            <w:r>
              <w:rPr>
                <w:sz w:val="18"/>
              </w:rPr>
              <w:t>Processing Operator</w:t>
            </w:r>
          </w:p>
        </w:tc>
        <w:tc>
          <w:tcPr>
            <w:tcW w:type="dxa" w:w="1512"/>
            <w:shd w:val="clear" w:color="auto" w:fill="F2F2F2"/>
            <w:vAlign w:val="top"/>
            <w:tcW w:w="1530" w:type="dxa"/>
          </w:tcPr>
          <w:p>
            <w:r>
              <w:rPr>
                <w:sz w:val="18"/>
              </w:rPr>
              <w:t>Equipment cleaning log</w:t>
            </w:r>
          </w:p>
        </w:tc>
      </w:tr>
      <w:tr>
        <w:tc>
          <w:tcPr>
            <w:tcW w:type="dxa" w:w="1512"/>
            <w:shd w:val="clear" w:color="auto" w:fill="FFFFFF"/>
            <w:vAlign w:val="top"/>
            <w:tcW w:w="2154" w:type="dxa"/>
          </w:tcPr>
          <w:p>
            <w:r>
              <w:rPr>
                <w:sz w:val="18"/>
              </w:rPr>
              <w:t>Grading &amp; Sizing Equipment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Clear product from screens. Brush surfaces. Wipe down conveyor belts and rollers.</w:t>
            </w:r>
          </w:p>
        </w:tc>
        <w:tc>
          <w:tcPr>
            <w:tcW w:type="dxa" w:w="1512"/>
            <w:shd w:val="clear" w:color="auto" w:fill="FFFFFF"/>
            <w:vAlign w:val="top"/>
            <w:tcW w:w="1814" w:type="dxa"/>
          </w:tcPr>
          <w:p>
            <w:r>
              <w:rPr>
                <w:sz w:val="18"/>
              </w:rPr>
              <w:t>EnzymeClear (1:20)</w:t>
            </w:r>
          </w:p>
        </w:tc>
        <w:tc>
          <w:tcPr>
            <w:tcW w:type="dxa" w:w="1512"/>
            <w:shd w:val="clear" w:color="auto" w:fill="FFFFFF"/>
            <w:vAlign w:val="top"/>
            <w:tcW w:w="1587" w:type="dxa"/>
          </w:tcPr>
          <w:p>
            <w:r>
              <w:rPr>
                <w:sz w:val="18"/>
              </w:rPr>
              <w:t>Grading Operator</w:t>
            </w:r>
          </w:p>
        </w:tc>
        <w:tc>
          <w:tcPr>
            <w:tcW w:type="dxa" w:w="1512"/>
            <w:shd w:val="clear" w:color="auto" w:fill="FFFFFF"/>
            <w:vAlign w:val="top"/>
            <w:tcW w:w="1530" w:type="dxa"/>
          </w:tcPr>
          <w:p>
            <w:r>
              <w:rPr>
                <w:sz w:val="18"/>
              </w:rPr>
              <w:t>Run record</w:t>
            </w:r>
          </w:p>
        </w:tc>
      </w:tr>
      <w:tr>
        <w:tc>
          <w:tcPr>
            <w:tcW w:type="dxa" w:w="1512"/>
            <w:shd w:val="clear" w:color="auto" w:fill="F2F2F2"/>
            <w:vAlign w:val="top"/>
            <w:tcW w:w="2154" w:type="dxa"/>
          </w:tcPr>
          <w:p>
            <w:r>
              <w:rPr>
                <w:sz w:val="18"/>
              </w:rPr>
              <w:t>Drying Area / Pads / Dryer</w:t>
            </w:r>
          </w:p>
        </w:tc>
        <w:tc>
          <w:tcPr>
            <w:tcW w:type="dxa" w:w="1512"/>
            <w:shd w:val="clear" w:color="auto" w:fill="F2F2F2"/>
            <w:vAlign w:val="top"/>
            <w:tcW w:w="1417" w:type="dxa"/>
          </w:tcPr>
          <w:p>
            <w:r>
              <w:rPr>
                <w:sz w:val="18"/>
              </w:rPr>
              <w:t>After each drying cycle</w:t>
            </w:r>
          </w:p>
        </w:tc>
        <w:tc>
          <w:tcPr>
            <w:tcW w:type="dxa" w:w="1512"/>
            <w:shd w:val="clear" w:color="auto" w:fill="F2F2F2"/>
            <w:vAlign w:val="top"/>
            <w:tcW w:w="3118" w:type="dxa"/>
          </w:tcPr>
          <w:p>
            <w:r>
              <w:rPr>
                <w:sz w:val="18"/>
              </w:rPr>
              <w:t>Remove nut skins and debris. Clean dryer mesh or tray surfaces.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Drying Supervisor</w:t>
            </w:r>
          </w:p>
        </w:tc>
        <w:tc>
          <w:tcPr>
            <w:tcW w:type="dxa" w:w="1512"/>
            <w:shd w:val="clear" w:color="auto" w:fill="F2F2F2"/>
            <w:vAlign w:val="top"/>
            <w:tcW w:w="1530" w:type="dxa"/>
          </w:tcPr>
          <w:p>
            <w:r>
              <w:rPr>
                <w:sz w:val="18"/>
              </w:rPr>
              <w:t>Drying log</w:t>
            </w:r>
          </w:p>
        </w:tc>
      </w:tr>
      <w:tr>
        <w:tc>
          <w:tcPr>
            <w:tcW w:type="dxa" w:w="1512"/>
            <w:shd w:val="clear" w:color="auto" w:fill="FFFFFF"/>
            <w:vAlign w:val="top"/>
            <w:tcW w:w="2154" w:type="dxa"/>
          </w:tcPr>
          <w:p>
            <w:r>
              <w:rPr>
                <w:sz w:val="18"/>
              </w:rPr>
              <w:t>Storage Bins / Holding Area</w:t>
            </w:r>
          </w:p>
        </w:tc>
        <w:tc>
          <w:tcPr>
            <w:tcW w:type="dxa" w:w="1512"/>
            <w:shd w:val="clear" w:color="auto" w:fill="FFFFFF"/>
            <w:vAlign w:val="top"/>
            <w:tcW w:w="1417" w:type="dxa"/>
          </w:tcPr>
          <w:p>
            <w:r>
              <w:rPr>
                <w:sz w:val="18"/>
              </w:rPr>
              <w:t>Between commodity lots</w:t>
            </w:r>
          </w:p>
        </w:tc>
        <w:tc>
          <w:tcPr>
            <w:tcW w:type="dxa" w:w="1512"/>
            <w:shd w:val="clear" w:color="auto" w:fill="FFFFFF"/>
            <w:vAlign w:val="top"/>
            <w:tcW w:w="3118" w:type="dxa"/>
          </w:tcPr>
          <w:p>
            <w:r>
              <w:rPr>
                <w:sz w:val="18"/>
              </w:rPr>
              <w:t>Full physical sweep of bin walls and floor. Inspect for residue and pest signs.</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Packaging Area</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Remove nut fragments from conveyor, scales, packing tables. Sweep floor.</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Shift cleaning log</w:t>
            </w:r>
          </w:p>
        </w:tc>
      </w:tr>
      <w:tr>
        <w:tc>
          <w:tcPr>
            <w:tcW w:type="dxa" w:w="1512"/>
            <w:shd w:val="clear" w:color="auto" w:fill="FFFFFF"/>
            <w:vAlign w:val="top"/>
            <w:tcW w:w="2154" w:type="dxa"/>
          </w:tcPr>
          <w:p>
            <w:r>
              <w:rPr>
                <w:sz w:val="18"/>
              </w:rPr>
              <w:t>Amenities / Toilets / Lunchroom</w:t>
            </w:r>
          </w:p>
        </w:tc>
        <w:tc>
          <w:tcPr>
            <w:tcW w:type="dxa" w:w="1512"/>
            <w:shd w:val="clear" w:color="auto" w:fill="FFFFFF"/>
            <w:vAlign w:val="top"/>
            <w:tcW w:w="1417" w:type="dxa"/>
          </w:tcPr>
          <w:p>
            <w:r>
              <w:rPr>
                <w:sz w:val="18"/>
              </w:rPr>
              <w:t>Daily</w:t>
            </w:r>
          </w:p>
        </w:tc>
        <w:tc>
          <w:tcPr>
            <w:tcW w:type="dxa" w:w="1512"/>
            <w:shd w:val="clear" w:color="auto" w:fill="FFFFFF"/>
            <w:vAlign w:val="top"/>
            <w:tcW w:w="3118" w:type="dxa"/>
          </w:tcPr>
          <w:p>
            <w:r>
              <w:rPr>
                <w:sz w:val="18"/>
              </w:rPr>
              <w:t>Clean surfaces, basins, toilets, floors. Refill soap.</w:t>
            </w:r>
          </w:p>
        </w:tc>
        <w:tc>
          <w:tcPr>
            <w:tcW w:type="dxa" w:w="1512"/>
            <w:shd w:val="clear" w:color="auto" w:fill="FFFFFF"/>
            <w:vAlign w:val="top"/>
            <w:tcW w:w="1814" w:type="dxa"/>
          </w:tcPr>
          <w:p>
            <w:r>
              <w:rPr>
                <w:sz w:val="18"/>
              </w:rPr>
              <w:t>QuatSan 100 (1:100)</w:t>
            </w:r>
          </w:p>
        </w:tc>
        <w:tc>
          <w:tcPr>
            <w:tcW w:type="dxa" w:w="1512"/>
            <w:shd w:val="clear" w:color="auto" w:fill="FFFFFF"/>
            <w:vAlign w:val="top"/>
            <w:tcW w:w="1587" w:type="dxa"/>
          </w:tcPr>
          <w:p>
            <w:r>
              <w:rPr>
                <w:sz w:val="18"/>
              </w:rPr>
              <w:t>All staff</w:t>
            </w:r>
          </w:p>
        </w:tc>
        <w:tc>
          <w:tcPr>
            <w:tcW w:type="dxa" w:w="1512"/>
            <w:shd w:val="clear" w:color="auto" w:fill="FFFFFF"/>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Area</w:t>
      </w:r>
    </w:p>
    <w:p>
      <w:r>
        <w:rPr>
          <w:b w:val="0"/>
          <w:i w:val="0"/>
          <w:sz w:val="20"/>
        </w:rPr>
        <w:t>Designated staff are responsible for maintaining the Receival / Intake Area in a clean and hygienic condition following each production run or daily as scheduled. Appropriate cleaning agents at specified dilutions shall be used. Completed cleaning activities are to be recorded in the site cleaning log.</w:t>
      </w:r>
    </w:p>
    <w:p>
      <w:pPr>
        <w:pStyle w:val="Heading2"/>
      </w:pPr>
      <w:r>
        <w:t>Huller / Cracker / Sheller</w:t>
      </w:r>
    </w:p>
    <w:p>
      <w:r>
        <w:rPr>
          <w:b w:val="0"/>
          <w:i w:val="0"/>
          <w:sz w:val="20"/>
        </w:rPr>
        <w:t>After each production run: Power off and lock out drive before opening. Dismantle outer access panels. Remove nut residue, shell fragments, and skin from rollers, screens, and internal surfaces using a stiff brush. Prepare BioDegreaser FD at 1:25. Apply to metal surfaces where oil residue is present. Contact time 5 minutes. Rinse with water. Allow to dry before reassembly. Record in Equipment Cleaning Log.</w:t>
      </w:r>
    </w:p>
    <w:p>
      <w:pPr>
        <w:pStyle w:val="Heading2"/>
      </w:pPr>
      <w:r>
        <w:t>Grading &amp; Sizing Equipment</w:t>
      </w:r>
    </w:p>
    <w:p>
      <w:r>
        <w:rPr>
          <w:b w:val="0"/>
          <w:i w:val="0"/>
          <w:sz w:val="20"/>
        </w:rPr>
        <w:t>After each run: Clear all nut product from grading screens and conveyor belts. Brush screens using designated nut-cleaning brush to remove embedded skins and fragments. Prepare EnzymeClear at 1:20 in a spray bottle. Spray conveyor belt and rollers. Wipe with clean cloth. Inspect for any remaining organic residue. Record in Run Record.</w:t>
      </w:r>
    </w:p>
    <w:p>
      <w:pPr>
        <w:pStyle w:val="Heading2"/>
      </w:pPr>
      <w:r>
        <w:t>Drying Area / Pads / Dryer</w:t>
      </w:r>
    </w:p>
    <w:p>
      <w:r>
        <w:rPr>
          <w:b w:val="0"/>
          <w:i w:val="0"/>
          <w:sz w:val="20"/>
        </w:rPr>
        <w:t>Designated staff are responsible for maintaining the Drying Area / Pads / Dryer in a clean and hygienic condition following each production run or daily as scheduled. Appropriate cleaning agents at specified dilutions shall be used. Completed cleaning activities are to be recorded in the site cleaning log.</w:t>
      </w:r>
    </w:p>
    <w:p>
      <w:pPr>
        <w:pStyle w:val="Heading2"/>
      </w:pPr>
      <w:r>
        <w:t>Storage Bins / Holding Area</w:t>
      </w:r>
    </w:p>
    <w:p>
      <w:r>
        <w:rPr>
          <w:b w:val="0"/>
          <w:i w:val="0"/>
          <w:sz w:val="20"/>
        </w:rPr>
        <w:t>Between commodity lots: Inspect and clean storage bins before loading a new nut commodity. Using industrial vacuum, remove all residual nut material from bin walls, seams, and floor. Inspect for pest activity (insect frass, rodent droppings). Storage Manager signs pre-loading checklist confirming bin is clean and free of pests.</w:t>
      </w:r>
    </w:p>
    <w:p/>
    <w:p>
      <w:pPr>
        <w:pStyle w:val="Heading1"/>
      </w:pPr>
      <w:r>
        <w:rPr>
          <w:color w:val="1F497D"/>
        </w:rPr>
        <w:t>6.  MANAGEMENT OF RESIDUES AND DEAD-STOCK ZONES</w:t>
      </w:r>
    </w:p>
    <w:p>
      <w:r>
        <w:rPr>
          <w:b w:val="0"/>
          <w:i w:val="0"/>
          <w:sz w:val="20"/>
        </w:rPr>
        <w:t>Dead-stock zones include the inner drum of hulling and cracking equipment, under-belt spaces on grading conveyors, and the floor beneath dryer trays. Nut oil residue and fine skin particles accumulate in these areas and require periodic disassembly cleaning.</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storage areas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BioDegreaser FD Food-Grade</w:t>
            </w:r>
          </w:p>
        </w:tc>
        <w:tc>
          <w:tcPr>
            <w:tcW w:type="dxa" w:w="1512"/>
            <w:shd w:val="clear" w:color="auto" w:fill="F2F2F2"/>
            <w:vAlign w:val="top"/>
            <w:tcW w:w="1984" w:type="dxa"/>
          </w:tcPr>
          <w:p>
            <w:r>
              <w:rPr>
                <w:sz w:val="18"/>
              </w:rPr>
              <w:t>CleanTech Aust</w:t>
            </w:r>
          </w:p>
        </w:tc>
        <w:tc>
          <w:tcPr>
            <w:tcW w:type="dxa" w:w="1512"/>
            <w:shd w:val="clear" w:color="auto" w:fill="F2F2F2"/>
            <w:vAlign w:val="top"/>
            <w:tcW w:w="1701" w:type="dxa"/>
          </w:tcPr>
          <w:p>
            <w:r>
              <w:rPr>
                <w:sz w:val="18"/>
              </w:rPr>
              <w:t>Food-grade degreaser</w:t>
            </w:r>
          </w:p>
        </w:tc>
        <w:tc>
          <w:tcPr>
            <w:tcW w:type="dxa" w:w="1512"/>
            <w:shd w:val="clear" w:color="auto" w:fill="F2F2F2"/>
            <w:vAlign w:val="top"/>
            <w:tcW w:w="1417" w:type="dxa"/>
          </w:tcPr>
          <w:p>
            <w:r>
              <w:rPr>
                <w:sz w:val="18"/>
              </w:rPr>
              <w:t>1:25 in water</w:t>
            </w:r>
          </w:p>
        </w:tc>
        <w:tc>
          <w:tcPr>
            <w:tcW w:type="dxa" w:w="1512"/>
            <w:shd w:val="clear" w:color="auto" w:fill="F2F2F2"/>
            <w:vAlign w:val="top"/>
            <w:tcW w:w="2268" w:type="dxa"/>
          </w:tcPr>
          <w:p>
            <w:r>
              <w:rPr>
                <w:sz w:val="18"/>
              </w:rPr>
              <w:t>Huller, cracker, sheller components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EnzymeClear Organic Remover</w:t>
            </w:r>
          </w:p>
        </w:tc>
        <w:tc>
          <w:tcPr>
            <w:tcW w:type="dxa" w:w="1512"/>
            <w:shd w:val="clear" w:color="auto" w:fill="FFFFFF"/>
            <w:vAlign w:val="top"/>
            <w:tcW w:w="1984" w:type="dxa"/>
          </w:tcPr>
          <w:p>
            <w:r>
              <w:rPr>
                <w:sz w:val="18"/>
              </w:rPr>
              <w:t>FoodSafe Solutions</w:t>
            </w:r>
          </w:p>
        </w:tc>
        <w:tc>
          <w:tcPr>
            <w:tcW w:type="dxa" w:w="1512"/>
            <w:shd w:val="clear" w:color="auto" w:fill="FFFFFF"/>
            <w:vAlign w:val="top"/>
            <w:tcW w:w="1701" w:type="dxa"/>
          </w:tcPr>
          <w:p>
            <w:r>
              <w:rPr>
                <w:sz w:val="18"/>
              </w:rPr>
              <w:t>Enzyme cleaner</w:t>
            </w:r>
          </w:p>
        </w:tc>
        <w:tc>
          <w:tcPr>
            <w:tcW w:type="dxa" w:w="1512"/>
            <w:shd w:val="clear" w:color="auto" w:fill="FFFFFF"/>
            <w:vAlign w:val="top"/>
            <w:tcW w:w="1417" w:type="dxa"/>
          </w:tcPr>
          <w:p>
            <w:r>
              <w:rPr>
                <w:sz w:val="18"/>
              </w:rPr>
              <w:t>1:20 in water</w:t>
            </w:r>
          </w:p>
        </w:tc>
        <w:tc>
          <w:tcPr>
            <w:tcW w:type="dxa" w:w="1512"/>
            <w:shd w:val="clear" w:color="auto" w:fill="FFFFFF"/>
            <w:vAlign w:val="top"/>
            <w:tcW w:w="2268" w:type="dxa"/>
          </w:tcPr>
          <w:p>
            <w:r>
              <w:rPr>
                <w:sz w:val="18"/>
              </w:rPr>
              <w:t>Grading equipment, conveyor belts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Packing tables, amenities</w:t>
            </w:r>
          </w:p>
        </w:tc>
        <w:tc>
          <w:tcPr>
            <w:tcW w:type="dxa" w:w="1512"/>
            <w:shd w:val="clear" w:color="auto" w:fill="F2F2F2"/>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Paper-based cleaning records are maintained in a ring-binder located at the site office. Completed records are filed monthly and stored for at least two years.</w:t>
      </w:r>
    </w:p>
    <w:p/>
    <w:p>
      <w:pPr>
        <w:pStyle w:val="Heading2"/>
      </w:pPr>
      <w:r>
        <w:t>8.2  Sanitation Verification Log Template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3213" w:type="dxa"/>
          </w:tcPr>
          <w:p>
            <w:pPr>
              <w:jc w:val="center"/>
            </w:pPr>
            <w:r>
              <w:rPr>
                <w:b/>
                <w:color w:val="FFFFFF"/>
                <w:sz w:val="18"/>
              </w:rPr>
              <w:t>Date</w:t>
            </w:r>
          </w:p>
        </w:tc>
        <w:tc>
          <w:tcPr>
            <w:tcW w:type="dxa" w:w="3024"/>
            <w:shd w:val="clear" w:color="auto" w:fill="1F497D"/>
            <w:vAlign w:val="center"/>
            <w:tcW w:w="3213" w:type="dxa"/>
          </w:tcPr>
          <w:p>
            <w:pPr>
              <w:jc w:val="center"/>
            </w:pPr>
            <w:r>
              <w:rPr>
                <w:b/>
                <w:color w:val="FFFFFF"/>
                <w:sz w:val="18"/>
              </w:rPr>
              <w:t>Cleaned (✓/✗)</w:t>
            </w:r>
          </w:p>
        </w:tc>
        <w:tc>
          <w:tcPr>
            <w:tcW w:type="dxa" w:w="3024"/>
            <w:shd w:val="clear" w:color="auto" w:fill="1F497D"/>
            <w:vAlign w:val="center"/>
            <w:tcW w:w="3213" w:type="dxa"/>
          </w:tcPr>
          <w:p>
            <w:pPr>
              <w:jc w:val="center"/>
            </w:pPr>
            <w:r>
              <w:rPr>
                <w:b/>
                <w:color w:val="FFFFFF"/>
                <w:sz w:val="18"/>
              </w:rPr>
              <w:t>Staff Initial</w:t>
            </w:r>
          </w:p>
        </w:tc>
      </w:tr>
      <w:tr>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r>
      <w:tr>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r>
      <w:tr>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c>
          <w:tcPr>
            <w:tcW w:type="dxa" w:w="3024"/>
            <w:shd w:val="clear" w:color="auto" w:fill="FFFFFF"/>
            <w:vAlign w:val="top"/>
            <w:tcW w:w="3213" w:type="dxa"/>
          </w:tcPr>
          <w:p>
            <w:r>
              <w:rPr>
                <w:sz w:val="18"/>
              </w:rPr>
            </w:r>
          </w:p>
        </w:tc>
      </w:tr>
      <w:tr>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c>
          <w:tcPr>
            <w:tcW w:type="dxa" w:w="3024"/>
            <w:shd w:val="clear" w:color="auto" w:fill="F2F2F2"/>
            <w:vAlign w:val="top"/>
            <w:tcW w:w="3213"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Non-conformances with cleaning requirements are recorded in the site's corrective action log. Root cause analysis is completed for any repeat event within 30 days. Completed corrective actions are verified by the manager and signed off before closure.</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Routine inspection of Huon Valley Malt completed on 27 January 2025. All areas assessed as compliant with the hygiene standards required for the export of Walnuts. Cleaning logs current and records up to date.</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Jack Foley</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27 January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27 January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