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Derwent Valley Oat Farm</w:t>
            </w:r>
          </w:p>
        </w:tc>
      </w:tr>
      <w:tr>
        <w:tc>
          <w:tcPr>
            <w:tcW w:type="dxa" w:w="3118"/>
            <w:shd w:val="clear" w:color="auto" w:fill="DCE6F1"/>
            <w:vAlign w:val="center"/>
          </w:tcPr>
          <w:p>
            <w:r>
              <w:rPr>
                <w:b/>
                <w:sz w:val="18"/>
              </w:rPr>
              <w:t>RE Number</w:t>
            </w:r>
          </w:p>
        </w:tc>
        <w:tc>
          <w:tcPr>
            <w:tcW w:type="dxa" w:w="6236"/>
            <w:vAlign w:val="center"/>
          </w:tcPr>
          <w:p>
            <w:r>
              <w:rPr>
                <w:sz w:val="18"/>
              </w:rPr>
              <w:t>RE-TAS-2023-0014</w:t>
            </w:r>
          </w:p>
        </w:tc>
      </w:tr>
      <w:tr>
        <w:tc>
          <w:tcPr>
            <w:tcW w:type="dxa" w:w="3118"/>
            <w:shd w:val="clear" w:color="auto" w:fill="DCE6F1"/>
            <w:vAlign w:val="center"/>
          </w:tcPr>
          <w:p>
            <w:r>
              <w:rPr>
                <w:b/>
                <w:sz w:val="18"/>
              </w:rPr>
              <w:t>State / Territory</w:t>
            </w:r>
          </w:p>
        </w:tc>
        <w:tc>
          <w:tcPr>
            <w:tcW w:type="dxa" w:w="6236"/>
            <w:vAlign w:val="center"/>
          </w:tcPr>
          <w:p>
            <w:r>
              <w:rPr>
                <w:sz w:val="18"/>
              </w:rPr>
              <w:t>TAS</w:t>
            </w:r>
          </w:p>
        </w:tc>
      </w:tr>
      <w:tr>
        <w:tc>
          <w:tcPr>
            <w:tcW w:type="dxa" w:w="3118"/>
            <w:shd w:val="clear" w:color="auto" w:fill="DCE6F1"/>
            <w:vAlign w:val="center"/>
          </w:tcPr>
          <w:p>
            <w:r>
              <w:rPr>
                <w:b/>
                <w:sz w:val="18"/>
              </w:rPr>
              <w:t>Property Address</w:t>
            </w:r>
          </w:p>
        </w:tc>
        <w:tc>
          <w:tcPr>
            <w:tcW w:type="dxa" w:w="6236"/>
            <w:vAlign w:val="center"/>
          </w:tcPr>
          <w:p>
            <w:r>
              <w:rPr>
                <w:sz w:val="18"/>
              </w:rPr>
              <w:t>28 Highland Lakes Road, Bothwell TAS 7030</w:t>
            </w:r>
          </w:p>
        </w:tc>
      </w:tr>
      <w:tr>
        <w:tc>
          <w:tcPr>
            <w:tcW w:type="dxa" w:w="3118"/>
            <w:shd w:val="clear" w:color="auto" w:fill="DCE6F1"/>
            <w:vAlign w:val="center"/>
          </w:tcPr>
          <w:p>
            <w:r>
              <w:rPr>
                <w:b/>
                <w:sz w:val="18"/>
              </w:rPr>
              <w:t>Registered Commodity</w:t>
            </w:r>
          </w:p>
        </w:tc>
        <w:tc>
          <w:tcPr>
            <w:tcW w:type="dxa" w:w="6236"/>
            <w:vAlign w:val="center"/>
          </w:tcPr>
          <w:p>
            <w:r>
              <w:rPr>
                <w:sz w:val="18"/>
              </w:rPr>
              <w:t>Sorghum</w:t>
            </w:r>
          </w:p>
        </w:tc>
      </w:tr>
      <w:tr>
        <w:tc>
          <w:tcPr>
            <w:tcW w:type="dxa" w:w="3118"/>
            <w:shd w:val="clear" w:color="auto" w:fill="DCE6F1"/>
            <w:vAlign w:val="center"/>
          </w:tcPr>
          <w:p>
            <w:r>
              <w:rPr>
                <w:b/>
                <w:sz w:val="18"/>
              </w:rPr>
              <w:t>Responsible Officer</w:t>
            </w:r>
          </w:p>
        </w:tc>
        <w:tc>
          <w:tcPr>
            <w:tcW w:type="dxa" w:w="6236"/>
            <w:vAlign w:val="center"/>
          </w:tcPr>
          <w:p>
            <w:r>
              <w:rPr>
                <w:sz w:val="18"/>
              </w:rPr>
              <w:t>Gary Watkins</w:t>
            </w:r>
          </w:p>
        </w:tc>
      </w:tr>
      <w:tr>
        <w:tc>
          <w:tcPr>
            <w:tcW w:type="dxa" w:w="3118"/>
            <w:shd w:val="clear" w:color="auto" w:fill="DCE6F1"/>
            <w:vAlign w:val="center"/>
          </w:tcPr>
          <w:p>
            <w:r>
              <w:rPr>
                <w:b/>
                <w:sz w:val="18"/>
              </w:rPr>
              <w:t>Property Area</w:t>
            </w:r>
          </w:p>
        </w:tc>
        <w:tc>
          <w:tcPr>
            <w:tcW w:type="dxa" w:w="6236"/>
            <w:vAlign w:val="center"/>
          </w:tcPr>
          <w:p>
            <w:r>
              <w:rPr>
                <w:sz w:val="18"/>
              </w:rPr>
              <w:t>1850.0 ha</w:t>
            </w:r>
          </w:p>
        </w:tc>
      </w:tr>
      <w:tr>
        <w:tc>
          <w:tcPr>
            <w:tcW w:type="dxa" w:w="3118"/>
            <w:shd w:val="clear" w:color="auto" w:fill="DCE6F1"/>
            <w:vAlign w:val="center"/>
          </w:tcPr>
          <w:p>
            <w:r>
              <w:rPr>
                <w:b/>
                <w:sz w:val="18"/>
              </w:rPr>
              <w:t>Year Established</w:t>
            </w:r>
          </w:p>
        </w:tc>
        <w:tc>
          <w:tcPr>
            <w:tcW w:type="dxa" w:w="6236"/>
            <w:vAlign w:val="center"/>
          </w:tcPr>
          <w:p>
            <w:r>
              <w:rPr>
                <w:sz w:val="18"/>
              </w:rPr>
              <w:t>2011</w:t>
            </w:r>
          </w:p>
        </w:tc>
      </w:tr>
      <w:tr>
        <w:tc>
          <w:tcPr>
            <w:tcW w:type="dxa" w:w="3118"/>
            <w:shd w:val="clear" w:color="auto" w:fill="DCE6F1"/>
            <w:vAlign w:val="center"/>
          </w:tcPr>
          <w:p>
            <w:r>
              <w:rPr>
                <w:b/>
                <w:sz w:val="18"/>
              </w:rPr>
              <w:t>Document Version</w:t>
            </w:r>
          </w:p>
        </w:tc>
        <w:tc>
          <w:tcPr>
            <w:tcW w:type="dxa" w:w="6236"/>
            <w:vAlign w:val="center"/>
          </w:tcPr>
          <w:p>
            <w:r>
              <w:rPr>
                <w:sz w:val="18"/>
              </w:rPr>
              <w:t>2.1</w:t>
            </w:r>
          </w:p>
        </w:tc>
      </w:tr>
      <w:tr>
        <w:tc>
          <w:tcPr>
            <w:tcW w:type="dxa" w:w="3118"/>
            <w:shd w:val="clear" w:color="auto" w:fill="DCE6F1"/>
            <w:vAlign w:val="center"/>
          </w:tcPr>
          <w:p>
            <w:r>
              <w:rPr>
                <w:b/>
                <w:sz w:val="18"/>
              </w:rPr>
              <w:t>Plan Date</w:t>
            </w:r>
          </w:p>
        </w:tc>
        <w:tc>
          <w:tcPr>
            <w:tcW w:type="dxa" w:w="6236"/>
            <w:vAlign w:val="center"/>
          </w:tcPr>
          <w:p>
            <w:r>
              <w:rPr>
                <w:sz w:val="18"/>
              </w:rPr>
              <w:t>28 February 2024</w:t>
            </w:r>
          </w:p>
        </w:tc>
      </w:tr>
      <w:tr>
        <w:tc>
          <w:tcPr>
            <w:tcW w:type="dxa" w:w="3118"/>
            <w:shd w:val="clear" w:color="auto" w:fill="DCE6F1"/>
            <w:vAlign w:val="center"/>
          </w:tcPr>
          <w:p>
            <w:r>
              <w:rPr>
                <w:b/>
                <w:sz w:val="18"/>
              </w:rPr>
              <w:t>Next Review</w:t>
            </w:r>
          </w:p>
        </w:tc>
        <w:tc>
          <w:tcPr>
            <w:tcW w:type="dxa" w:w="6236"/>
            <w:vAlign w:val="center"/>
          </w:tcPr>
          <w:p>
            <w:r>
              <w:rPr>
                <w:sz w:val="18"/>
              </w:rPr>
              <w:t>28 February 2026</w:t>
            </w:r>
          </w:p>
        </w:tc>
      </w:tr>
    </w:tbl>
    <w:p/>
    <w:p>
      <w:pPr>
        <w:pStyle w:val="Heading1"/>
      </w:pPr>
      <w:r>
        <w:rPr>
          <w:color w:val="1F497D"/>
        </w:rPr>
        <w:t>1.  OVERVIEW</w:t>
      </w:r>
    </w:p>
    <w:p>
      <w:r>
        <w:rPr>
          <w:b w:val="0"/>
          <w:i w:val="0"/>
          <w:sz w:val="20"/>
        </w:rPr>
        <w:t>Derwent Valley Oat Farm is a registered export establishment located at 28 Highland Lakes Road, Bothwell TAS 7030, TAS. The establishment holds RE Number RE-TAS-2023-0014 and is registered to handle and export Sorghum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RB</w:t>
            </w:r>
          </w:p>
        </w:tc>
        <w:tc>
          <w:tcPr>
            <w:tcW w:type="dxa" w:w="3118"/>
            <w:shd w:val="clear" w:color="auto" w:fill="FFFFFF"/>
            <w:vAlign w:val="center"/>
          </w:tcPr>
          <w:p>
            <w:r>
              <w:rPr>
                <w:sz w:val="18"/>
              </w:rPr>
              <w:t>Receival Building</w:t>
            </w:r>
          </w:p>
        </w:tc>
        <w:tc>
          <w:tcPr>
            <w:tcW w:type="dxa" w:w="1587"/>
            <w:shd w:val="clear" w:color="auto" w:fill="FFFFFF"/>
            <w:vAlign w:val="center"/>
          </w:tcPr>
          <w:p>
            <w:r>
              <w:rPr>
                <w:sz w:val="18"/>
              </w:rPr>
              <w:t>30×18 m</w:t>
            </w:r>
          </w:p>
        </w:tc>
        <w:tc>
          <w:tcPr>
            <w:tcW w:type="dxa" w:w="1984"/>
            <w:shd w:val="clear" w:color="auto" w:fill="FFFFFF"/>
            <w:vAlign w:val="center"/>
          </w:tcPr>
          <w:p>
            <w:r>
              <w:rPr>
                <w:sz w:val="18"/>
              </w:rPr>
              <w:t>Steel portal, smooth concrete floor</w:t>
            </w:r>
          </w:p>
        </w:tc>
        <w:tc>
          <w:tcPr>
            <w:tcW w:type="dxa" w:w="2381"/>
            <w:shd w:val="clear" w:color="auto" w:fill="FFFFFF"/>
            <w:vAlign w:val="center"/>
          </w:tcPr>
          <w:p>
            <w:r>
              <w:rPr>
                <w:sz w:val="18"/>
              </w:rPr>
              <w:t>Centre-north of site</w:t>
            </w:r>
          </w:p>
        </w:tc>
      </w:tr>
      <w:tr>
        <w:tc>
          <w:tcPr>
            <w:tcW w:type="dxa" w:w="850"/>
            <w:shd w:val="clear" w:color="auto" w:fill="F2F2F2"/>
            <w:vAlign w:val="center"/>
          </w:tcPr>
          <w:p>
            <w:r>
              <w:rPr>
                <w:sz w:val="18"/>
              </w:rPr>
              <w:t>S1–S6</w:t>
            </w:r>
          </w:p>
        </w:tc>
        <w:tc>
          <w:tcPr>
            <w:tcW w:type="dxa" w:w="3118"/>
            <w:shd w:val="clear" w:color="auto" w:fill="F2F2F2"/>
            <w:vAlign w:val="center"/>
          </w:tcPr>
          <w:p>
            <w:r>
              <w:rPr>
                <w:sz w:val="18"/>
              </w:rPr>
              <w:t>Storage Silos ×6 (2,500 t ea)</w:t>
            </w:r>
          </w:p>
        </w:tc>
        <w:tc>
          <w:tcPr>
            <w:tcW w:type="dxa" w:w="1587"/>
            <w:shd w:val="clear" w:color="auto" w:fill="F2F2F2"/>
            <w:vAlign w:val="center"/>
          </w:tcPr>
          <w:p>
            <w:r>
              <w:rPr>
                <w:sz w:val="18"/>
              </w:rPr>
              <w:t>Dia. 12 m</w:t>
            </w:r>
          </w:p>
        </w:tc>
        <w:tc>
          <w:tcPr>
            <w:tcW w:type="dxa" w:w="1984"/>
            <w:shd w:val="clear" w:color="auto" w:fill="F2F2F2"/>
            <w:vAlign w:val="center"/>
          </w:tcPr>
          <w:p>
            <w:r>
              <w:rPr>
                <w:sz w:val="18"/>
              </w:rPr>
              <w:t>Galvanised steel on concrete ring beams</w:t>
            </w:r>
          </w:p>
        </w:tc>
        <w:tc>
          <w:tcPr>
            <w:tcW w:type="dxa" w:w="2381"/>
            <w:shd w:val="clear" w:color="auto" w:fill="F2F2F2"/>
            <w:vAlign w:val="center"/>
          </w:tcPr>
          <w:p>
            <w:r>
              <w:rPr>
                <w:sz w:val="18"/>
              </w:rPr>
              <w:t>Central cluster</w:t>
            </w:r>
          </w:p>
        </w:tc>
      </w:tr>
      <w:tr>
        <w:tc>
          <w:tcPr>
            <w:tcW w:type="dxa" w:w="850"/>
            <w:shd w:val="clear" w:color="auto" w:fill="FFFFFF"/>
            <w:vAlign w:val="center"/>
          </w:tcPr>
          <w:p>
            <w:r>
              <w:rPr>
                <w:sz w:val="18"/>
              </w:rPr>
              <w:t>PL</w:t>
            </w:r>
          </w:p>
        </w:tc>
        <w:tc>
          <w:tcPr>
            <w:tcW w:type="dxa" w:w="3118"/>
            <w:shd w:val="clear" w:color="auto" w:fill="FFFFFF"/>
            <w:vAlign w:val="center"/>
          </w:tcPr>
          <w:p>
            <w:r>
              <w:rPr>
                <w:sz w:val="18"/>
              </w:rPr>
              <w:t>Packing &amp; Load-Out Shed</w:t>
            </w:r>
          </w:p>
        </w:tc>
        <w:tc>
          <w:tcPr>
            <w:tcW w:type="dxa" w:w="1587"/>
            <w:shd w:val="clear" w:color="auto" w:fill="FFFFFF"/>
            <w:vAlign w:val="center"/>
          </w:tcPr>
          <w:p>
            <w:r>
              <w:rPr>
                <w:sz w:val="18"/>
              </w:rPr>
              <w:t>28×18 m</w:t>
            </w:r>
          </w:p>
        </w:tc>
        <w:tc>
          <w:tcPr>
            <w:tcW w:type="dxa" w:w="1984"/>
            <w:shd w:val="clear" w:color="auto" w:fill="FFFFFF"/>
            <w:vAlign w:val="center"/>
          </w:tcPr>
          <w:p>
            <w:r>
              <w:rPr>
                <w:sz w:val="18"/>
              </w:rPr>
              <w:t>Tilt-up concrete panels</w:t>
            </w:r>
          </w:p>
        </w:tc>
        <w:tc>
          <w:tcPr>
            <w:tcW w:type="dxa" w:w="2381"/>
            <w:shd w:val="clear" w:color="auto" w:fill="FFFFFF"/>
            <w:vAlign w:val="center"/>
          </w:tcPr>
          <w:p>
            <w:r>
              <w:rPr>
                <w:sz w:val="18"/>
              </w:rPr>
              <w:t>South end of site</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RB</w:t>
            </w:r>
          </w:p>
        </w:tc>
      </w:tr>
      <w:tr>
        <w:tc>
          <w:tcPr>
            <w:tcW w:type="dxa" w:w="850"/>
            <w:shd w:val="clear" w:color="auto" w:fill="FFFFFF"/>
            <w:vAlign w:val="center"/>
          </w:tcPr>
          <w:p>
            <w:r>
              <w:rPr>
                <w:sz w:val="18"/>
              </w:rPr>
              <w:t>CS</w:t>
            </w:r>
          </w:p>
        </w:tc>
        <w:tc>
          <w:tcPr>
            <w:tcW w:type="dxa" w:w="3118"/>
            <w:shd w:val="clear" w:color="auto" w:fill="FFFFFF"/>
            <w:vAlign w:val="center"/>
          </w:tcPr>
          <w:p>
            <w:r>
              <w:rPr>
                <w:sz w:val="18"/>
              </w:rPr>
              <w:t>Chemical &amp; Lubricant Store</w:t>
            </w:r>
          </w:p>
        </w:tc>
        <w:tc>
          <w:tcPr>
            <w:tcW w:type="dxa" w:w="1587"/>
            <w:shd w:val="clear" w:color="auto" w:fill="FFFFFF"/>
            <w:vAlign w:val="center"/>
          </w:tcPr>
          <w:p>
            <w:r>
              <w:rPr>
                <w:sz w:val="18"/>
              </w:rPr>
              <w:t>6×4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15 m from PL</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w:t>
            </w:r>
          </w:p>
        </w:tc>
        <w:tc>
          <w:tcPr>
            <w:tcW w:type="dxa" w:w="2381"/>
            <w:shd w:val="clear" w:color="auto" w:fill="F2F2F2"/>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×6</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×3</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Rotary screen cleaner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Pre-storage cleaning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Sorghum.</w:t>
      </w:r>
    </w:p>
    <w:p>
      <w:pPr>
        <w:pStyle w:val="Heading2"/>
      </w:pPr>
      <w:r>
        <w:t>4.2  Lighting (C2)</w:t>
      </w:r>
    </w:p>
    <w:p>
      <w:r>
        <w:rPr>
          <w:b w:val="0"/>
          <w:i w:val="0"/>
          <w:sz w:val="20"/>
        </w:rPr>
        <w:t>LED high-bay luminaires throughout: 550 lux processing, 440 lux storage, 418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2 toilets, 2 hand basins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Liquid waste via flush-recessed floor drains to bunded underground sump (3000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(WMP-1101 Rev 2):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sorghum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Energex/Ergon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bore licence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Gary Watkins</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28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