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Mallee Chickpea Growers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RE-VIC-2020-0181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39 Murray Valley Highway, Swan Hill VIC 3585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Citrus and Stonefruit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bird surveillance using 8 mapped stations and contractor verification. Trend review identifies repeated rodent activity in receival zones with delayed escalation follow-up.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Mallee Chickpea Growers   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