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King Island Dairies &amp; Grains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RE-VIC-3032</w:t>
              <w:br/>
            </w:r>
            <w:r>
              <w:rPr>
                <w:sz w:val="16"/>
              </w:rPr>
              <w:t>Doc Ref:        KIN-HACCP-033</w:t>
              <w:br/>
            </w:r>
            <w:r>
              <w:rPr>
                <w:sz w:val="16"/>
              </w:rPr>
              <w:t>Version:        1.2</w:t>
              <w:br/>
            </w:r>
            <w:r>
              <w:rPr>
                <w:sz w:val="16"/>
              </w:rPr>
              <w:t>Date:             June 2025</w:t>
              <w:br/>
            </w:r>
            <w:r>
              <w:rPr>
                <w:sz w:val="16"/>
              </w:rPr>
              <w:t>State:            Western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King Island Dairies &amp; Grains Pty Ltd</w:t>
      </w:r>
    </w:p>
    <w:p>
      <w:pPr>
        <w:spacing w:after="60"/>
      </w:pPr>
      <w:r>
        <w:rPr>
          <w:sz w:val="20"/>
        </w:rPr>
        <w:t>Address: 33 Station Road, Western Australia</w:t>
      </w:r>
    </w:p>
    <w:p>
      <w:pPr>
        <w:spacing w:after="60"/>
      </w:pPr>
      <w:r>
        <w:rPr>
          <w:sz w:val="20"/>
        </w:rPr>
        <w:t>Commodity: Wheat (ASW, APW), Barley (Feed/Malt)</w:t>
      </w:r>
    </w:p>
    <w:p>
      <w:pPr>
        <w:spacing w:after="60"/>
      </w:pPr>
      <w:r>
        <w:rPr>
          <w:sz w:val="20"/>
        </w:rPr>
        <w:t>Scope: Receival, drying, storage, cleaning/grading, sampling and bulk loading of wheat and barley for export under the Export Control Act 2020. Applicable to all export-grade grain handled within registered area RE-NSW-3051.</w:t>
      </w:r>
    </w:p>
    <w:p>
      <w:pPr>
        <w:spacing w:after="60"/>
      </w:pPr>
      <w:r>
        <w:rPr>
          <w:sz w:val="20"/>
        </w:rPr>
        <w:t>Intended use: Malt-grade barley for malting/brewing industry. APW1/ASW wheat for milling. Consuming population: general adult population. Destination: Japan, Vietnam.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33 (Quality Lead)</w:t>
      </w:r>
    </w:p>
    <w:p>
      <w:pPr>
        <w:pStyle w:val="ListBullet"/>
        <w:spacing w:after="40"/>
      </w:pPr>
      <w:r>
        <w:rPr>
          <w:sz w:val="20"/>
        </w:rPr>
        <w:t>Operator 33A</w:t>
      </w:r>
    </w:p>
    <w:p>
      <w:pPr>
        <w:pStyle w:val="ListBullet"/>
        <w:spacing w:after="40"/>
      </w:pPr>
      <w:r>
        <w:rPr>
          <w:sz w:val="20"/>
        </w:rPr>
        <w:t>Operator 33B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selection &amp; planning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history, soil test results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lots planned for harvest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grain (header bin/chaser)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transport to silo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Harvested grain in chaser/cart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at receival pit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at pit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probed for moisture, grade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Drying (if moisture &gt;13%)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Wet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dried to ≤12.5% moisture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in sealed silo with aeration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Cleaning / screening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grain (scalper + indent cylinder)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Probe sample submitted to NATA lab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in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Treated grain; fumigation certificate issued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Loading / 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Sampled &amp; cleared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loaded to transport unit;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Fusarium mycotoxins (DON, ZON) from pre-harvest conditions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Storage mycotoxins (Ochratoxin A) — variety/storage risk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MRL (importing country)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Ergot (Claviceps purpurea) contamination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Rodent infestation / contamination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(weevils, moths)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glass, metal, stones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Fumigant residue (phosphine) above MRL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Planning/Intake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 (DON/OA)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Variety selection; field risk assessment; intake sampling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DON ≤1,250 µg/kg (EU);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lab test 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segregate; do not blend with compliant grain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 exceedance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review; MRL screening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destination country (Japan/Vietnam CODEX)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Chemical spray diary review; residue test if flagged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grower; notify DAFF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Ergot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sort; sieve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tolerance (EU); &lt;0.05% (Japan)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at intake; NATA ergot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downgrade; do not export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(18 perimeter); monthly inspection; grain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visual evidence of live rodents or fresh droppings in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bait station inspection log; quarterly grain probe trap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Increase bait density; engage licensed pest controller; quarantine affected silo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Cleaning/Screening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 (glass/metal)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screen; rare-earth magnet; indent cylinder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Metal: none detected; Glass: none detected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 inspection daily; magnet cleaning log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investigate source; document; re-screen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Ventilation protocol post-fumigation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phosphine residue in grain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 period;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King Island Dairies &amp; Grains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King Island Dairies &amp; Grains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King Island Dairies &amp; Grains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(GCE-TRACE-001):</w:t>
        <w:br/>
        <w:t>• One step back: each silo assigned a unique ID containing grower name, paddock ID, variety, harvest year (e.g., GCE-SILO3-SMITH-PADD2-APW1-2025).</w:t>
        <w:br/>
        <w:t>• One step forward: each dispatch docket links silo ID → transport unit rego → receiving establishment.</w:t>
        <w:br/>
        <w:t>• Batch records: receival docket → lab test result → silo allocation → fumigation certificate → dispatch docket, all linked by lot reference.</w:t>
        <w:br/>
        <w:t>• Records retained 2 years minimum. Digital copies in FarmWizard grain management system.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King Island Dairies &amp; Grains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phytosanitary security section in this HACCP plan for King Island Dairies &amp; Grains Pty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June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33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33 (Quality Lead)  |  Title: HACCP Lead  |  Date: June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