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Minyip Grain Co</w:t>
            </w:r>
          </w:p>
        </w:tc>
      </w:tr>
      <w:tr>
        <w:tc>
          <w:tcPr>
            <w:tcW w:type="dxa" w:w="3118"/>
            <w:shd w:val="clear" w:color="auto" w:fill="DCE6F1"/>
            <w:vAlign w:val="center"/>
          </w:tcPr>
          <w:p>
            <w:r>
              <w:rPr>
                <w:b/>
                <w:sz w:val="18"/>
              </w:rPr>
              <w:t>RE Number</w:t>
            </w:r>
          </w:p>
        </w:tc>
        <w:tc>
          <w:tcPr>
            <w:tcW w:type="dxa" w:w="6236"/>
            <w:vAlign w:val="center"/>
          </w:tcPr>
          <w:p>
            <w:r>
              <w:rPr>
                <w:sz w:val="18"/>
              </w:rPr>
              <w:t>RE-VIC-2021-0188</w:t>
            </w:r>
          </w:p>
        </w:tc>
      </w:tr>
      <w:tr>
        <w:tc>
          <w:tcPr>
            <w:tcW w:type="dxa" w:w="3118"/>
            <w:shd w:val="clear" w:color="auto" w:fill="DCE6F1"/>
            <w:vAlign w:val="center"/>
          </w:tcPr>
          <w:p>
            <w:r>
              <w:rPr>
                <w:b/>
                <w:sz w:val="18"/>
              </w:rPr>
              <w:t>State / Territory</w:t>
            </w:r>
          </w:p>
        </w:tc>
        <w:tc>
          <w:tcPr>
            <w:tcW w:type="dxa" w:w="6236"/>
            <w:vAlign w:val="center"/>
          </w:tcPr>
          <w:p>
            <w:r>
              <w:rPr>
                <w:sz w:val="18"/>
              </w:rPr>
              <w:t>VIC</w:t>
            </w:r>
          </w:p>
        </w:tc>
      </w:tr>
      <w:tr>
        <w:tc>
          <w:tcPr>
            <w:tcW w:type="dxa" w:w="3118"/>
            <w:shd w:val="clear" w:color="auto" w:fill="DCE6F1"/>
            <w:vAlign w:val="center"/>
          </w:tcPr>
          <w:p>
            <w:r>
              <w:rPr>
                <w:b/>
                <w:sz w:val="18"/>
              </w:rPr>
              <w:t>Property Address</w:t>
            </w:r>
          </w:p>
        </w:tc>
        <w:tc>
          <w:tcPr>
            <w:tcW w:type="dxa" w:w="6236"/>
            <w:vAlign w:val="center"/>
          </w:tcPr>
          <w:p>
            <w:r>
              <w:rPr>
                <w:sz w:val="18"/>
              </w:rPr>
              <w:t>19 Donald-Minyip Road, Minyip VIC 3463</w:t>
            </w:r>
          </w:p>
        </w:tc>
      </w:tr>
      <w:tr>
        <w:tc>
          <w:tcPr>
            <w:tcW w:type="dxa" w:w="3118"/>
            <w:shd w:val="clear" w:color="auto" w:fill="DCE6F1"/>
            <w:vAlign w:val="center"/>
          </w:tcPr>
          <w:p>
            <w:r>
              <w:rPr>
                <w:b/>
                <w:sz w:val="18"/>
              </w:rPr>
              <w:t>Registered Commodity</w:t>
            </w:r>
          </w:p>
        </w:tc>
        <w:tc>
          <w:tcPr>
            <w:tcW w:type="dxa" w:w="6236"/>
            <w:vAlign w:val="center"/>
          </w:tcPr>
          <w:p>
            <w:r>
              <w:rPr>
                <w:sz w:val="18"/>
              </w:rPr>
              <w:t>Almonds</w:t>
            </w:r>
          </w:p>
        </w:tc>
      </w:tr>
      <w:tr>
        <w:tc>
          <w:tcPr>
            <w:tcW w:type="dxa" w:w="3118"/>
            <w:shd w:val="clear" w:color="auto" w:fill="DCE6F1"/>
            <w:vAlign w:val="center"/>
          </w:tcPr>
          <w:p>
            <w:r>
              <w:rPr>
                <w:b/>
                <w:sz w:val="18"/>
              </w:rPr>
              <w:t>Responsible Officer</w:t>
            </w:r>
          </w:p>
        </w:tc>
        <w:tc>
          <w:tcPr>
            <w:tcW w:type="dxa" w:w="6236"/>
            <w:vAlign w:val="center"/>
          </w:tcPr>
          <w:p>
            <w:r>
              <w:rPr>
                <w:sz w:val="18"/>
              </w:rPr>
              <w:t>Angela Park</w:t>
            </w:r>
          </w:p>
        </w:tc>
      </w:tr>
      <w:tr>
        <w:tc>
          <w:tcPr>
            <w:tcW w:type="dxa" w:w="3118"/>
            <w:shd w:val="clear" w:color="auto" w:fill="DCE6F1"/>
            <w:vAlign w:val="center"/>
          </w:tcPr>
          <w:p>
            <w:r>
              <w:rPr>
                <w:b/>
                <w:sz w:val="18"/>
              </w:rPr>
              <w:t>Property Area</w:t>
            </w:r>
          </w:p>
        </w:tc>
        <w:tc>
          <w:tcPr>
            <w:tcW w:type="dxa" w:w="6236"/>
            <w:vAlign w:val="center"/>
          </w:tcPr>
          <w:p>
            <w:r>
              <w:rPr>
                <w:sz w:val="18"/>
              </w:rPr>
              <w:t>560.0 ha</w:t>
            </w:r>
          </w:p>
        </w:tc>
      </w:tr>
      <w:tr>
        <w:tc>
          <w:tcPr>
            <w:tcW w:type="dxa" w:w="3118"/>
            <w:shd w:val="clear" w:color="auto" w:fill="DCE6F1"/>
            <w:vAlign w:val="center"/>
          </w:tcPr>
          <w:p>
            <w:r>
              <w:rPr>
                <w:b/>
                <w:sz w:val="18"/>
              </w:rPr>
              <w:t>Year Established</w:t>
            </w:r>
          </w:p>
        </w:tc>
        <w:tc>
          <w:tcPr>
            <w:tcW w:type="dxa" w:w="6236"/>
            <w:vAlign w:val="center"/>
          </w:tcPr>
          <w:p>
            <w:r>
              <w:rPr>
                <w:sz w:val="18"/>
              </w:rPr>
              <w:t>2014</w:t>
            </w:r>
          </w:p>
        </w:tc>
      </w:tr>
      <w:tr>
        <w:tc>
          <w:tcPr>
            <w:tcW w:type="dxa" w:w="3118"/>
            <w:shd w:val="clear" w:color="auto" w:fill="DCE6F1"/>
            <w:vAlign w:val="center"/>
          </w:tcPr>
          <w:p>
            <w:r>
              <w:rPr>
                <w:b/>
                <w:sz w:val="18"/>
              </w:rPr>
              <w:t>Document Version</w:t>
            </w:r>
          </w:p>
        </w:tc>
        <w:tc>
          <w:tcPr>
            <w:tcW w:type="dxa" w:w="6236"/>
            <w:vAlign w:val="center"/>
          </w:tcPr>
          <w:p>
            <w:r>
              <w:rPr>
                <w:sz w:val="18"/>
              </w:rPr>
              <w:t>2.3</w:t>
            </w:r>
          </w:p>
        </w:tc>
      </w:tr>
      <w:tr>
        <w:tc>
          <w:tcPr>
            <w:tcW w:type="dxa" w:w="3118"/>
            <w:shd w:val="clear" w:color="auto" w:fill="DCE6F1"/>
            <w:vAlign w:val="center"/>
          </w:tcPr>
          <w:p>
            <w:r>
              <w:rPr>
                <w:b/>
                <w:sz w:val="18"/>
              </w:rPr>
              <w:t>Plan Date</w:t>
            </w:r>
          </w:p>
        </w:tc>
        <w:tc>
          <w:tcPr>
            <w:tcW w:type="dxa" w:w="6236"/>
            <w:vAlign w:val="center"/>
          </w:tcPr>
          <w:p>
            <w:r>
              <w:rPr>
                <w:sz w:val="18"/>
              </w:rPr>
              <w:t>7 March 2024</w:t>
            </w:r>
          </w:p>
        </w:tc>
      </w:tr>
      <w:tr>
        <w:tc>
          <w:tcPr>
            <w:tcW w:type="dxa" w:w="3118"/>
            <w:shd w:val="clear" w:color="auto" w:fill="DCE6F1"/>
            <w:vAlign w:val="center"/>
          </w:tcPr>
          <w:p>
            <w:r>
              <w:rPr>
                <w:b/>
                <w:sz w:val="18"/>
              </w:rPr>
              <w:t>Next Review</w:t>
            </w:r>
          </w:p>
        </w:tc>
        <w:tc>
          <w:tcPr>
            <w:tcW w:type="dxa" w:w="6236"/>
            <w:vAlign w:val="center"/>
          </w:tcPr>
          <w:p>
            <w:r>
              <w:rPr>
                <w:sz w:val="18"/>
              </w:rPr>
              <w:t>7 March 2026</w:t>
            </w:r>
          </w:p>
        </w:tc>
      </w:tr>
    </w:tbl>
    <w:p/>
    <w:p>
      <w:pPr>
        <w:pStyle w:val="Heading1"/>
      </w:pPr>
      <w:r>
        <w:rPr>
          <w:color w:val="1F497D"/>
        </w:rPr>
        <w:t>1.  OVERVIEW</w:t>
      </w:r>
    </w:p>
    <w:p>
      <w:r>
        <w:rPr>
          <w:b w:val="0"/>
          <w:i w:val="0"/>
          <w:sz w:val="20"/>
        </w:rPr>
        <w:t>Minyip Grain Co is a registered export establishment located at 19 Donald-Minyip Road, Minyip VIC 3463, VIC. The establishment holds RE Number RE-VIC-2021-0188 and is registered to handle and export Almonds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Nut Processing Hall</w:t>
            </w:r>
          </w:p>
        </w:tc>
        <w:tc>
          <w:tcPr>
            <w:tcW w:type="dxa" w:w="1587"/>
            <w:shd w:val="clear" w:color="auto" w:fill="FFFFFF"/>
            <w:vAlign w:val="center"/>
          </w:tcPr>
          <w:p>
            <w:r>
              <w:rPr>
                <w:sz w:val="18"/>
              </w:rPr>
              <w:t>32×20 m</w:t>
            </w:r>
          </w:p>
        </w:tc>
        <w:tc>
          <w:tcPr>
            <w:tcW w:type="dxa" w:w="1984"/>
            <w:shd w:val="clear" w:color="auto" w:fill="FFFFFF"/>
            <w:vAlign w:val="center"/>
          </w:tcPr>
          <w:p>
            <w:r>
              <w:rPr>
                <w:sz w:val="18"/>
              </w:rPr>
              <w:t>Steel portal, smooth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HS</w:t>
            </w:r>
          </w:p>
        </w:tc>
        <w:tc>
          <w:tcPr>
            <w:tcW w:type="dxa" w:w="3118"/>
            <w:shd w:val="clear" w:color="auto" w:fill="F2F2F2"/>
            <w:vAlign w:val="center"/>
          </w:tcPr>
          <w:p>
            <w:r>
              <w:rPr>
                <w:sz w:val="18"/>
              </w:rPr>
              <w:t>Hulling/Shelling Shed</w:t>
            </w:r>
          </w:p>
        </w:tc>
        <w:tc>
          <w:tcPr>
            <w:tcW w:type="dxa" w:w="1587"/>
            <w:shd w:val="clear" w:color="auto" w:fill="F2F2F2"/>
            <w:vAlign w:val="center"/>
          </w:tcPr>
          <w:p>
            <w:r>
              <w:rPr>
                <w:sz w:val="18"/>
              </w:rPr>
              <w:t>28×18 m</w:t>
            </w:r>
          </w:p>
        </w:tc>
        <w:tc>
          <w:tcPr>
            <w:tcW w:type="dxa" w:w="1984"/>
            <w:shd w:val="clear" w:color="auto" w:fill="F2F2F2"/>
            <w:vAlign w:val="center"/>
          </w:tcPr>
          <w:p>
            <w:r>
              <w:rPr>
                <w:sz w:val="18"/>
              </w:rPr>
              <w:t>Steel, concrete floor</w:t>
            </w:r>
          </w:p>
        </w:tc>
        <w:tc>
          <w:tcPr>
            <w:tcW w:type="dxa" w:w="2381"/>
            <w:shd w:val="clear" w:color="auto" w:fill="F2F2F2"/>
            <w:vAlign w:val="center"/>
          </w:tcPr>
          <w:p>
            <w:r>
              <w:rPr>
                <w:sz w:val="18"/>
              </w:rPr>
              <w:t>North of PH</w:t>
            </w:r>
          </w:p>
        </w:tc>
      </w:tr>
      <w:tr>
        <w:tc>
          <w:tcPr>
            <w:tcW w:type="dxa" w:w="850"/>
            <w:shd w:val="clear" w:color="auto" w:fill="FFFFFF"/>
            <w:vAlign w:val="center"/>
          </w:tcPr>
          <w:p>
            <w:r>
              <w:rPr>
                <w:sz w:val="18"/>
              </w:rPr>
              <w:t>CS</w:t>
            </w:r>
          </w:p>
        </w:tc>
        <w:tc>
          <w:tcPr>
            <w:tcW w:type="dxa" w:w="3118"/>
            <w:shd w:val="clear" w:color="auto" w:fill="FFFFFF"/>
            <w:vAlign w:val="center"/>
          </w:tcPr>
          <w:p>
            <w:r>
              <w:rPr>
                <w:sz w:val="18"/>
              </w:rPr>
              <w:t>Cold Store</w:t>
            </w:r>
          </w:p>
        </w:tc>
        <w:tc>
          <w:tcPr>
            <w:tcW w:type="dxa" w:w="1587"/>
            <w:shd w:val="clear" w:color="auto" w:fill="FFFFFF"/>
            <w:vAlign w:val="center"/>
          </w:tcPr>
          <w:p>
            <w:r>
              <w:rPr>
                <w:sz w:val="18"/>
              </w:rPr>
              <w:t>14×12 m</w:t>
            </w:r>
          </w:p>
        </w:tc>
        <w:tc>
          <w:tcPr>
            <w:tcW w:type="dxa" w:w="1984"/>
            <w:shd w:val="clear" w:color="auto" w:fill="FFFFFF"/>
            <w:vAlign w:val="center"/>
          </w:tcPr>
          <w:p>
            <w:r>
              <w:rPr>
                <w:sz w:val="18"/>
              </w:rPr>
              <w:t>Insulated panel, ammonia refrigeration</w:t>
            </w:r>
          </w:p>
        </w:tc>
        <w:tc>
          <w:tcPr>
            <w:tcW w:type="dxa" w:w="2381"/>
            <w:shd w:val="clear" w:color="auto" w:fill="FFFFFF"/>
            <w:vAlign w:val="center"/>
          </w:tcPr>
          <w:p>
            <w:r>
              <w:rPr>
                <w:sz w:val="18"/>
              </w:rPr>
              <w:t>East of PH</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5×3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SE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5×4 m</w:t>
            </w:r>
          </w:p>
        </w:tc>
        <w:tc>
          <w:tcPr>
            <w:tcW w:type="dxa" w:w="1984"/>
            <w:shd w:val="clear" w:color="auto" w:fill="F2F2F2"/>
            <w:vAlign w:val="center"/>
          </w:tcPr>
          <w:p>
            <w:r>
              <w:rPr>
                <w:sz w:val="18"/>
              </w:rPr>
              <w:t>Enclosed room in PH</w:t>
            </w:r>
          </w:p>
        </w:tc>
        <w:tc>
          <w:tcPr>
            <w:tcW w:type="dxa" w:w="2381"/>
            <w:shd w:val="clear" w:color="auto" w:fill="F2F2F2"/>
            <w:vAlign w:val="center"/>
          </w:tcPr>
          <w:p>
            <w:r>
              <w:rPr>
                <w:sz w:val="18"/>
              </w:rPr>
              <w:t>PH east wall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Hulling and shelling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Primary processing</w:t>
            </w:r>
          </w:p>
        </w:tc>
      </w:tr>
      <w:tr>
        <w:tc>
          <w:tcPr>
            <w:tcW w:type="dxa" w:w="3685"/>
            <w:shd w:val="clear" w:color="auto" w:fill="F2F2F2"/>
            <w:vAlign w:val="center"/>
          </w:tcPr>
          <w:p>
            <w:r>
              <w:rPr>
                <w:sz w:val="18"/>
              </w:rPr>
              <w:t>Optical colour sorter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Quality grading</w:t>
            </w:r>
          </w:p>
        </w:tc>
      </w:tr>
      <w:tr>
        <w:tc>
          <w:tcPr>
            <w:tcW w:type="dxa" w:w="3685"/>
            <w:shd w:val="clear" w:color="auto" w:fill="FFFFFF"/>
            <w:vAlign w:val="center"/>
          </w:tcPr>
          <w:p>
            <w:r>
              <w:rPr>
                <w:sz w:val="18"/>
              </w:rPr>
              <w:t>Semi-automatic pack line</w:t>
            </w:r>
          </w:p>
        </w:tc>
        <w:tc>
          <w:tcPr>
            <w:tcW w:type="dxa" w:w="1984"/>
            <w:shd w:val="clear" w:color="auto" w:fill="FFFFFF"/>
            <w:vAlign w:val="center"/>
          </w:tcPr>
          <w:p>
            <w:r>
              <w:rPr>
                <w:sz w:val="18"/>
              </w:rPr>
              <w:t>2 lanes</w:t>
            </w:r>
          </w:p>
        </w:tc>
        <w:tc>
          <w:tcPr>
            <w:tcW w:type="dxa" w:w="4252"/>
            <w:shd w:val="clear" w:color="auto" w:fill="FFFFFF"/>
            <w:vAlign w:val="center"/>
          </w:tcPr>
          <w:p>
            <w:r>
              <w:rPr>
                <w:sz w:val="18"/>
              </w:rPr>
              <w:t>Consumer and bulk packing</w:t>
            </w:r>
          </w:p>
        </w:tc>
      </w:tr>
      <w:tr>
        <w:tc>
          <w:tcPr>
            <w:tcW w:type="dxa" w:w="3685"/>
            <w:shd w:val="clear" w:color="auto" w:fill="F2F2F2"/>
            <w:vAlign w:val="center"/>
          </w:tcPr>
          <w:p>
            <w:r>
              <w:rPr>
                <w:sz w:val="18"/>
              </w:rPr>
              <w:t>Metal detector</w:t>
            </w:r>
          </w:p>
        </w:tc>
        <w:tc>
          <w:tcPr>
            <w:tcW w:type="dxa" w:w="1984"/>
            <w:shd w:val="clear" w:color="auto" w:fill="F2F2F2"/>
            <w:vAlign w:val="center"/>
          </w:tcPr>
          <w:p>
            <w:r>
              <w:rPr>
                <w:sz w:val="18"/>
              </w:rPr>
              <w:t>CCP inline</w:t>
            </w:r>
          </w:p>
        </w:tc>
        <w:tc>
          <w:tcPr>
            <w:tcW w:type="dxa" w:w="4252"/>
            <w:shd w:val="clear" w:color="auto" w:fill="F2F2F2"/>
            <w:vAlign w:val="center"/>
          </w:tcPr>
          <w:p>
            <w:r>
              <w:rPr>
                <w:sz w:val="18"/>
              </w:rPr>
              <w:t>Export food safety</w:t>
            </w:r>
          </w:p>
        </w:tc>
      </w:tr>
      <w:tr>
        <w:tc>
          <w:tcPr>
            <w:tcW w:type="dxa" w:w="3685"/>
            <w:shd w:val="clear" w:color="auto" w:fill="FFFFFF"/>
            <w:vAlign w:val="center"/>
          </w:tcPr>
          <w:p>
            <w:r>
              <w:rPr>
                <w:sz w:val="18"/>
              </w:rPr>
              <w:t>Moisture/aflatoxin analyser</w:t>
            </w:r>
          </w:p>
        </w:tc>
        <w:tc>
          <w:tcPr>
            <w:tcW w:type="dxa" w:w="1984"/>
            <w:shd w:val="clear" w:color="auto" w:fill="FFFFFF"/>
            <w:vAlign w:val="center"/>
          </w:tcPr>
          <w:p>
            <w:r>
              <w:rPr>
                <w:sz w:val="18"/>
              </w:rPr>
              <w:t>In-line</w:t>
            </w:r>
          </w:p>
        </w:tc>
        <w:tc>
          <w:tcPr>
            <w:tcW w:type="dxa" w:w="4252"/>
            <w:shd w:val="clear" w:color="auto" w:fill="FFFFFF"/>
            <w:vAlign w:val="center"/>
          </w:tcPr>
          <w:p>
            <w:r>
              <w:rPr>
                <w:sz w:val="18"/>
              </w:rPr>
              <w:t>Quality and safety testing</w:t>
            </w:r>
          </w:p>
        </w:tc>
      </w:tr>
      <w:tr>
        <w:tc>
          <w:tcPr>
            <w:tcW w:type="dxa" w:w="3685"/>
            <w:shd w:val="clear" w:color="auto" w:fill="F2F2F2"/>
            <w:vAlign w:val="center"/>
          </w:tcPr>
          <w:p>
            <w:r>
              <w:rPr>
                <w:sz w:val="18"/>
              </w:rPr>
              <w:t>Pallet stretch wrapper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palletising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Almonds.</w:t>
      </w:r>
    </w:p>
    <w:p>
      <w:pPr>
        <w:pStyle w:val="Heading2"/>
      </w:pPr>
      <w:r>
        <w:t>4.2  Lighting (C2)</w:t>
      </w:r>
    </w:p>
    <w:p>
      <w:r>
        <w:rPr>
          <w:b w:val="0"/>
          <w:i w:val="0"/>
          <w:sz w:val="20"/>
        </w:rPr>
        <w:t>LED high-bay luminaires throughout: 500 lux processing, 400 lux storage, 380 lux load-out. All levels comply with AS/NZS 1680.2.1. Photocell-activated perimeter lighting for after-hours vehicle movements.</w:t>
      </w:r>
    </w:p>
    <w:p>
      <w:pPr>
        <w:pStyle w:val="Heading2"/>
      </w:pPr>
      <w:r>
        <w:t>4.3  Handwashing and Toilet Facilities (C3)</w:t>
      </w:r>
    </w:p>
    <w:p>
      <w:r>
        <w:rPr>
          <w:b w:val="0"/>
          <w:i w:val="0"/>
          <w:sz w:val="20"/>
        </w:rPr>
        <w:t>Amenities block adjacent to processing entry: 1 toilet, 1 hand basin (hot/cold, liquid soap, paper towels). Additional hand basin at packing hall entry — no-touch sensor tap, soap, paper towel roll. 'Wash hands before handling product' signage at all wash points.</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Internal surfaces: smooth-finish epoxy-sealed concrete floors with 80 mm coved skirting; smooth food-grade colourbond wall linings to 2.4 m; recessed drains with stainless-steel grates. All equipment on adjustable SS feet ≥150 mm off floor. Equipment housings open fully for pressure-wash access. Cleaning schedule specifies full washdown between commodity lots.</w:t>
      </w:r>
    </w:p>
    <w:p>
      <w:pPr>
        <w:pStyle w:val="Heading2"/>
      </w:pPr>
      <w:r>
        <w:t>5.2  Contamination and Pest Harbourage Minimisation (C5)</w:t>
      </w:r>
    </w:p>
    <w:p>
      <w:r>
        <w:rPr>
          <w:b w:val="0"/>
          <w:i w:val="0"/>
          <w:sz w:val="20"/>
        </w:rPr>
        <w:t>Sealed building envelope: all wall-floor junctions coved; roof-wall junctions sealed with foam backer rod and polyurethane sealant; all service penetrations sealed with expandable foam; ventilation openings fitted with 6 mm stainless wire mesh; personnel doors with 10 mm brush seals on all four sides; roller doors with rubber threshold sweeps and side brush seals. Annual pest technician inspection confirms envelope integrity.</w:t>
      </w:r>
    </w:p>
    <w:p>
      <w:pPr>
        <w:pStyle w:val="Heading2"/>
      </w:pPr>
      <w:r>
        <w:t>5.3  Waste Disposal Design (C6)</w:t>
      </w:r>
    </w:p>
    <w:p>
      <w:r>
        <w:rPr>
          <w:b w:val="0"/>
          <w:i w:val="0"/>
          <w:sz w:val="20"/>
        </w:rPr>
        <w:t>Liquid waste via flush-recessed floor drains to bunded underground sump (1500 L) outside the building; pump-out by licensed contractor weekly or when 80% full. Solid waste in sealed labelled bins at designated collection points; removed to covered external waste bay daily. Dust via cyclone separator — collection bags changed fortnightly. All waste areas bunded and roofed.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Documented Waste Management Procedure (WMP-1401 Rev 3): specifies daily spillage sweep, weekly sump pump-out, post-commodity full shed washdown. Responsibilities assigned to named positions. Records in waste management log (Form WL-001) retained ≥2 years. Procedure reviewed annually by establishment manager.</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Hull and shell waste</w:t>
            </w:r>
          </w:p>
        </w:tc>
        <w:tc>
          <w:tcPr>
            <w:tcW w:type="dxa" w:w="4252"/>
            <w:shd w:val="clear" w:color="auto" w:fill="FFFFFF"/>
            <w:vAlign w:val="center"/>
          </w:tcPr>
          <w:p>
            <w:r>
              <w:rPr>
                <w:sz w:val="18"/>
              </w:rPr>
              <w:t>Collection pit under processor → covered external stockpile</w:t>
            </w:r>
          </w:p>
        </w:tc>
        <w:tc>
          <w:tcPr>
            <w:tcW w:type="dxa" w:w="2835"/>
            <w:shd w:val="clear" w:color="auto" w:fill="FFFFFF"/>
            <w:vAlign w:val="center"/>
          </w:tcPr>
          <w:p>
            <w:r>
              <w:rPr>
                <w:sz w:val="18"/>
              </w:rPr>
              <w:t>Daily bobcat removal</w:t>
            </w:r>
          </w:p>
        </w:tc>
      </w:tr>
      <w:tr>
        <w:tc>
          <w:tcPr>
            <w:tcW w:type="dxa" w:w="2835"/>
            <w:shd w:val="clear" w:color="auto" w:fill="F2F2F2"/>
            <w:vAlign w:val="center"/>
          </w:tcPr>
          <w:p>
            <w:r>
              <w:rPr>
                <w:sz w:val="18"/>
              </w:rPr>
              <w:t>Nut dust and fines</w:t>
            </w:r>
          </w:p>
        </w:tc>
        <w:tc>
          <w:tcPr>
            <w:tcW w:type="dxa" w:w="4252"/>
            <w:shd w:val="clear" w:color="auto" w:fill="F2F2F2"/>
            <w:vAlign w:val="center"/>
          </w:tcPr>
          <w:p>
            <w:r>
              <w:rPr>
                <w:sz w:val="18"/>
              </w:rPr>
              <w:t>Bag filter on processing line</w:t>
            </w:r>
          </w:p>
        </w:tc>
        <w:tc>
          <w:tcPr>
            <w:tcW w:type="dxa" w:w="2835"/>
            <w:shd w:val="clear" w:color="auto" w:fill="F2F2F2"/>
            <w:vAlign w:val="center"/>
          </w:tcPr>
          <w:p>
            <w:r>
              <w:rPr>
                <w:sz w:val="18"/>
              </w:rPr>
              <w:t>Weekly bag change</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Baler/compactor</w:t>
            </w:r>
          </w:p>
        </w:tc>
        <w:tc>
          <w:tcPr>
            <w:tcW w:type="dxa" w:w="2835"/>
            <w:shd w:val="clear" w:color="auto" w:fill="F2F2F2"/>
            <w:vAlign w:val="center"/>
          </w:tcPr>
          <w:p>
            <w:r>
              <w:rPr>
                <w:sz w:val="18"/>
              </w:rPr>
              <w:t>Fortnightly collection</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All areas are clean and tidy at inspection. Floors swept and dry — no accumulated almonds residue, spillage or debris observed. Wall surfaces free from dust and product residue. Equipment cleaned after each production run per cleaning schedule. Amenities block clean; consumables stocked. Drain covers in place and clear.</w:t>
      </w:r>
    </w:p>
    <w:p>
      <w:pPr>
        <w:pStyle w:val="Heading2"/>
      </w:pPr>
      <w:r>
        <w:t>7.2  Pest Condition (C9)</w:t>
      </w:r>
    </w:p>
    <w:p>
      <w:r>
        <w:rPr>
          <w:b w:val="0"/>
          <w:i w:val="0"/>
          <w:sz w:val="20"/>
        </w:rPr>
        <w:t>No pest activity detected at most recent internal inspection. All rodent bait stations serviceable and baited — no evidence of feeding. Insect monitoring traps (pheromone and sticky) show no target species above threshold levels. No evidence of bird ingress. Last fumigation: 2024 (routine, bin rotation).</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Ausgrid/Endeavour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irrigation licence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Angela Park</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7 March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