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Kerang Grain and Pulse</w:t>
            </w:r>
          </w:p>
        </w:tc>
      </w:tr>
      <w:tr>
        <w:tc>
          <w:tcPr>
            <w:tcW w:type="dxa" w:w="4536"/>
            <w:shd w:val="clear" w:color="auto" w:fill="1F497D"/>
            <w:vAlign w:val="center"/>
          </w:tcPr>
          <w:p>
            <w:r>
              <w:rPr>
                <w:b/>
                <w:color w:val="FFFFFF"/>
                <w:sz w:val="18"/>
              </w:rPr>
              <w:t>RE Number</w:t>
            </w:r>
          </w:p>
        </w:tc>
        <w:tc>
          <w:tcPr>
            <w:tcW w:type="dxa" w:w="4536"/>
          </w:tcPr>
          <w:p>
            <w:r>
              <w:rPr>
                <w:sz w:val="18"/>
              </w:rPr>
              <w:t>RE-VIC-2022-0100</w:t>
            </w:r>
          </w:p>
        </w:tc>
      </w:tr>
      <w:tr>
        <w:tc>
          <w:tcPr>
            <w:tcW w:type="dxa" w:w="4536"/>
            <w:shd w:val="clear" w:color="auto" w:fill="1F497D"/>
            <w:vAlign w:val="center"/>
          </w:tcPr>
          <w:p>
            <w:r>
              <w:rPr>
                <w:b/>
                <w:color w:val="FFFFFF"/>
                <w:sz w:val="18"/>
              </w:rPr>
              <w:t>State / Territory</w:t>
            </w:r>
          </w:p>
        </w:tc>
        <w:tc>
          <w:tcPr>
            <w:tcW w:type="dxa" w:w="4536"/>
          </w:tcPr>
          <w:p>
            <w:r>
              <w:rPr>
                <w:sz w:val="18"/>
              </w:rPr>
              <w:t>VIC</w:t>
            </w:r>
          </w:p>
        </w:tc>
      </w:tr>
      <w:tr>
        <w:tc>
          <w:tcPr>
            <w:tcW w:type="dxa" w:w="4536"/>
            <w:shd w:val="clear" w:color="auto" w:fill="1F497D"/>
            <w:vAlign w:val="center"/>
          </w:tcPr>
          <w:p>
            <w:r>
              <w:rPr>
                <w:b/>
                <w:color w:val="FFFFFF"/>
                <w:sz w:val="18"/>
              </w:rPr>
              <w:t>Property Address</w:t>
            </w:r>
          </w:p>
        </w:tc>
        <w:tc>
          <w:tcPr>
            <w:tcW w:type="dxa" w:w="4536"/>
          </w:tcPr>
          <w:p>
            <w:r>
              <w:rPr>
                <w:sz w:val="18"/>
              </w:rPr>
              <w:t>75 Murray Valley Highway, Kerang VIC 3579</w:t>
            </w:r>
          </w:p>
        </w:tc>
      </w:tr>
      <w:tr>
        <w:tc>
          <w:tcPr>
            <w:tcW w:type="dxa" w:w="4536"/>
            <w:shd w:val="clear" w:color="auto" w:fill="1F497D"/>
            <w:vAlign w:val="center"/>
          </w:tcPr>
          <w:p>
            <w:r>
              <w:rPr>
                <w:b/>
                <w:color w:val="FFFFFF"/>
                <w:sz w:val="18"/>
              </w:rPr>
              <w:t>Registered Commodity</w:t>
            </w:r>
          </w:p>
        </w:tc>
        <w:tc>
          <w:tcPr>
            <w:tcW w:type="dxa" w:w="4536"/>
          </w:tcPr>
          <w:p>
            <w:r>
              <w:rPr>
                <w:sz w:val="18"/>
              </w:rPr>
              <w:t>Barley</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Sandra Lisle</w:t>
            </w:r>
          </w:p>
        </w:tc>
      </w:tr>
      <w:tr>
        <w:tc>
          <w:tcPr>
            <w:tcW w:type="dxa" w:w="4536"/>
            <w:shd w:val="clear" w:color="auto" w:fill="1F497D"/>
            <w:vAlign w:val="center"/>
          </w:tcPr>
          <w:p>
            <w:r>
              <w:rPr>
                <w:b/>
                <w:color w:val="FFFFFF"/>
                <w:sz w:val="18"/>
              </w:rPr>
              <w:t>Property Area</w:t>
            </w:r>
          </w:p>
        </w:tc>
        <w:tc>
          <w:tcPr>
            <w:tcW w:type="dxa" w:w="4536"/>
          </w:tcPr>
          <w:p>
            <w:r>
              <w:rPr>
                <w:sz w:val="18"/>
              </w:rPr>
              <w:t>690.0 ha</w:t>
            </w:r>
          </w:p>
        </w:tc>
      </w:tr>
      <w:tr>
        <w:tc>
          <w:tcPr>
            <w:tcW w:type="dxa" w:w="4536"/>
            <w:shd w:val="clear" w:color="auto" w:fill="1F497D"/>
            <w:vAlign w:val="center"/>
          </w:tcPr>
          <w:p>
            <w:r>
              <w:rPr>
                <w:b/>
                <w:color w:val="FFFFFF"/>
                <w:sz w:val="18"/>
              </w:rPr>
              <w:t>Document Version</w:t>
            </w:r>
          </w:p>
        </w:tc>
        <w:tc>
          <w:tcPr>
            <w:tcW w:type="dxa" w:w="4536"/>
          </w:tcPr>
          <w:p>
            <w:r>
              <w:rPr>
                <w:sz w:val="18"/>
              </w:rPr>
              <w:t>3.5</w:t>
            </w:r>
          </w:p>
        </w:tc>
      </w:tr>
      <w:tr>
        <w:tc>
          <w:tcPr>
            <w:tcW w:type="dxa" w:w="4536"/>
            <w:shd w:val="clear" w:color="auto" w:fill="1F497D"/>
            <w:vAlign w:val="center"/>
          </w:tcPr>
          <w:p>
            <w:r>
              <w:rPr>
                <w:b/>
                <w:color w:val="FFFFFF"/>
                <w:sz w:val="18"/>
              </w:rPr>
              <w:t>Plan Date</w:t>
            </w:r>
          </w:p>
        </w:tc>
        <w:tc>
          <w:tcPr>
            <w:tcW w:type="dxa" w:w="4536"/>
          </w:tcPr>
          <w:p>
            <w:r>
              <w:rPr>
                <w:sz w:val="18"/>
              </w:rPr>
              <w:t>7 February 2025</w:t>
            </w:r>
          </w:p>
        </w:tc>
      </w:tr>
      <w:tr>
        <w:tc>
          <w:tcPr>
            <w:tcW w:type="dxa" w:w="4536"/>
            <w:shd w:val="clear" w:color="auto" w:fill="1F497D"/>
            <w:vAlign w:val="center"/>
          </w:tcPr>
          <w:p>
            <w:r>
              <w:rPr>
                <w:b/>
                <w:color w:val="FFFFFF"/>
                <w:sz w:val="18"/>
              </w:rPr>
              <w:t>Next Review</w:t>
            </w:r>
          </w:p>
        </w:tc>
        <w:tc>
          <w:tcPr>
            <w:tcW w:type="dxa" w:w="4536"/>
          </w:tcPr>
          <w:p>
            <w:r>
              <w:rPr>
                <w:sz w:val="18"/>
              </w:rPr>
              <w:t>7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Kerang Grain and Pulse used in grain handling and storage operations for export Barley.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Barley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Sandra Lisle</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in the site office. The establishment retains completed records for a period of six months after the end of the relevant activity.</w:t>
      </w:r>
    </w:p>
    <w:p/>
    <w:p>
      <w:pPr>
        <w:pStyle w:val="Heading2"/>
      </w:pPr>
      <w:r>
        <w:t>8.2  Sanitation Verification Log Template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97D"/>
            <w:vAlign w:val="center"/>
            <w:tcW w:w="1927" w:type="dxa"/>
          </w:tcPr>
          <w:p>
            <w:pPr>
              <w:jc w:val="center"/>
            </w:pPr>
            <w:r>
              <w:rPr>
                <w:b/>
                <w:color w:val="FFFFFF"/>
                <w:sz w:val="18"/>
              </w:rPr>
              <w:t>Area / Equipment</w:t>
            </w:r>
          </w:p>
        </w:tc>
        <w:tc>
          <w:tcPr>
            <w:tcW w:type="dxa" w:w="1814"/>
            <w:shd w:val="clear" w:color="auto" w:fill="1F497D"/>
            <w:vAlign w:val="center"/>
            <w:tcW w:w="1927" w:type="dxa"/>
          </w:tcPr>
          <w:p>
            <w:pPr>
              <w:jc w:val="center"/>
            </w:pPr>
            <w:r>
              <w:rPr>
                <w:b/>
                <w:color w:val="FFFFFF"/>
                <w:sz w:val="18"/>
              </w:rPr>
              <w:t>Cleaning Method</w:t>
            </w:r>
          </w:p>
        </w:tc>
        <w:tc>
          <w:tcPr>
            <w:tcW w:type="dxa" w:w="1814"/>
            <w:shd w:val="clear" w:color="auto" w:fill="1F497D"/>
            <w:vAlign w:val="center"/>
            <w:tcW w:w="1927" w:type="dxa"/>
          </w:tcPr>
          <w:p>
            <w:pPr>
              <w:jc w:val="center"/>
            </w:pPr>
            <w:r>
              <w:rPr>
                <w:b/>
                <w:color w:val="FFFFFF"/>
                <w:sz w:val="18"/>
              </w:rPr>
              <w:t>Chemical</w:t>
            </w:r>
          </w:p>
        </w:tc>
        <w:tc>
          <w:tcPr>
            <w:tcW w:type="dxa" w:w="1814"/>
            <w:shd w:val="clear" w:color="auto" w:fill="1F497D"/>
            <w:vAlign w:val="center"/>
            <w:tcW w:w="1927" w:type="dxa"/>
          </w:tcPr>
          <w:p>
            <w:pPr>
              <w:jc w:val="center"/>
            </w:pPr>
            <w:r>
              <w:rPr>
                <w:b/>
                <w:color w:val="FFFFFF"/>
                <w:sz w:val="18"/>
              </w:rPr>
              <w:t>Operator Name</w:t>
            </w:r>
          </w:p>
        </w:tc>
        <w:tc>
          <w:tcPr>
            <w:tcW w:type="dxa" w:w="1814"/>
            <w:shd w:val="clear" w:color="auto" w:fill="1F497D"/>
            <w:vAlign w:val="center"/>
            <w:tcW w:w="1927" w:type="dxa"/>
          </w:tcPr>
          <w:p>
            <w:pPr>
              <w:jc w:val="center"/>
            </w:pPr>
            <w:r>
              <w:rPr>
                <w:b/>
                <w:color w:val="FFFFFF"/>
                <w:sz w:val="18"/>
              </w:rPr>
              <w:t>Sign-off</w:t>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Kerang Grain and Pulse (conducted 7 February 2025)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Sandra Lisle</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7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7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