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BAIT STATION MAP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Kerang Grain and Pulse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RE-VIC-2022-0100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VIC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75 Murray Valley Highway, Kerang VIC 3579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Onions and Potatoes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Map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v4.7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Operations Lead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Pest Control System Overview</w:t>
      </w:r>
    </w:p>
    <w:p>
      <w:r>
        <w:rPr>
          <w:b w:val="0"/>
          <w:i w:val="0"/>
          <w:sz w:val="18"/>
        </w:rPr>
        <w:t>Integrated pest management applies rodent surveillance using 20 mapped stations and contractor verification. Trend review identifies repeated rodent activity in receival zones with delayed escalation follow-up. All operational and surrounding areas maintained clean and free of harbourage.</w:t>
      </w:r>
    </w:p>
    <w:p>
      <w:pPr>
        <w:spacing w:before="200" w:after="60"/>
      </w:pPr>
      <w:r>
        <w:rPr>
          <w:b/>
          <w:color w:val="1F497D"/>
          <w:sz w:val="26"/>
        </w:rPr>
        <w:t>2. Bait Station and Trap Layout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Code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Bait Type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Condition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BS-20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3. Monitoring and Servicing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Record Type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External bait station inspection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Weekly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Pest contractor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Service docket + photo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Internal trap verification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Twice weekly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QA team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Trap register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Corrective action follow-up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Within 24 hours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Operations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CAPA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Map validation against floor changes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Biosecurity Supervisor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Revision register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4. Chemical Storage and Segregation</w:t>
      </w:r>
    </w:p>
    <w:p>
      <w:r>
        <w:rPr>
          <w:b w:val="0"/>
          <w:i w:val="0"/>
          <w:sz w:val="18"/>
        </w:rPr>
        <w:t>Pesticides stored in dedicated locked cabinet with inventory reconciliation. Secondary decanting bench currently located adjacent to packing consumables zone.</w:t>
      </w:r>
    </w:p>
    <w:p>
      <w:pPr>
        <w:spacing w:before="200" w:after="60"/>
      </w:pPr>
      <w:r>
        <w:rPr>
          <w:b/>
          <w:color w:val="1F497D"/>
          <w:sz w:val="26"/>
        </w:rPr>
        <w:t>5. Site Sketch (Text Schematic)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Kerang Grain and Pulse                 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Perimeter line: BS-01..BS-08 minimum; internal corridors mapped │</w:t>
      </w:r>
    </w:p>
    <w:p>
      <w:pPr>
        <w:spacing w:after="20" w:before="0"/>
      </w:pPr>
      <w:r>
        <w:rPr>
          <w:rFonts w:ascii="Courier New" w:hAnsi="Courier New"/>
          <w:sz w:val="14"/>
        </w:rPr>
        <w:t>│ North Gate → Receival Shed → Packing Hall → Dispatch Zone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External wall nodes anchor tamper-resistant stations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Chemical cabinet in secured utilities room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