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Buloke Malting Barley</w:t>
            </w:r>
          </w:p>
        </w:tc>
      </w:tr>
      <w:tr>
        <w:tc>
          <w:tcPr>
            <w:tcW w:type="dxa" w:w="3118"/>
            <w:shd w:val="clear" w:color="auto" w:fill="DCE6F1"/>
            <w:vAlign w:val="center"/>
          </w:tcPr>
          <w:p>
            <w:r>
              <w:rPr>
                <w:b/>
                <w:sz w:val="18"/>
              </w:rPr>
              <w:t>RE Number</w:t>
            </w:r>
          </w:p>
        </w:tc>
        <w:tc>
          <w:tcPr>
            <w:tcW w:type="dxa" w:w="6236"/>
            <w:vAlign w:val="center"/>
          </w:tcPr>
          <w:p>
            <w:r>
              <w:rPr>
                <w:sz w:val="18"/>
              </w:rPr>
              <w:t>RE-VIC-2022-0188</w:t>
            </w:r>
          </w:p>
        </w:tc>
      </w:tr>
      <w:tr>
        <w:tc>
          <w:tcPr>
            <w:tcW w:type="dxa" w:w="3118"/>
            <w:shd w:val="clear" w:color="auto" w:fill="DCE6F1"/>
            <w:vAlign w:val="center"/>
          </w:tcPr>
          <w:p>
            <w:r>
              <w:rPr>
                <w:b/>
                <w:sz w:val="18"/>
              </w:rPr>
              <w:t>State / Territory</w:t>
            </w:r>
          </w:p>
        </w:tc>
        <w:tc>
          <w:tcPr>
            <w:tcW w:type="dxa" w:w="6236"/>
            <w:vAlign w:val="center"/>
          </w:tcPr>
          <w:p>
            <w:r>
              <w:rPr>
                <w:sz w:val="18"/>
              </w:rPr>
              <w:t>VIC</w:t>
            </w:r>
          </w:p>
        </w:tc>
      </w:tr>
      <w:tr>
        <w:tc>
          <w:tcPr>
            <w:tcW w:type="dxa" w:w="3118"/>
            <w:shd w:val="clear" w:color="auto" w:fill="DCE6F1"/>
            <w:vAlign w:val="center"/>
          </w:tcPr>
          <w:p>
            <w:r>
              <w:rPr>
                <w:b/>
                <w:sz w:val="18"/>
              </w:rPr>
              <w:t>Property Address</w:t>
            </w:r>
          </w:p>
        </w:tc>
        <w:tc>
          <w:tcPr>
            <w:tcW w:type="dxa" w:w="6236"/>
            <w:vAlign w:val="center"/>
          </w:tcPr>
          <w:p>
            <w:r>
              <w:rPr>
                <w:sz w:val="18"/>
              </w:rPr>
              <w:t>55 Sunraysia Highway, Donald VIC 3480</w:t>
            </w:r>
          </w:p>
        </w:tc>
      </w:tr>
      <w:tr>
        <w:tc>
          <w:tcPr>
            <w:tcW w:type="dxa" w:w="3118"/>
            <w:shd w:val="clear" w:color="auto" w:fill="DCE6F1"/>
            <w:vAlign w:val="center"/>
          </w:tcPr>
          <w:p>
            <w:r>
              <w:rPr>
                <w:b/>
                <w:sz w:val="18"/>
              </w:rPr>
              <w:t>Registered Commodity</w:t>
            </w:r>
          </w:p>
        </w:tc>
        <w:tc>
          <w:tcPr>
            <w:tcW w:type="dxa" w:w="6236"/>
            <w:vAlign w:val="center"/>
          </w:tcPr>
          <w:p>
            <w:r>
              <w:rPr>
                <w:sz w:val="18"/>
              </w:rPr>
              <w:t>Cotton</w:t>
            </w:r>
          </w:p>
        </w:tc>
      </w:tr>
      <w:tr>
        <w:tc>
          <w:tcPr>
            <w:tcW w:type="dxa" w:w="3118"/>
            <w:shd w:val="clear" w:color="auto" w:fill="DCE6F1"/>
            <w:vAlign w:val="center"/>
          </w:tcPr>
          <w:p>
            <w:r>
              <w:rPr>
                <w:b/>
                <w:sz w:val="18"/>
              </w:rPr>
              <w:t>Responsible Officer</w:t>
            </w:r>
          </w:p>
        </w:tc>
        <w:tc>
          <w:tcPr>
            <w:tcW w:type="dxa" w:w="6236"/>
            <w:vAlign w:val="center"/>
          </w:tcPr>
          <w:p>
            <w:r>
              <w:rPr>
                <w:sz w:val="18"/>
              </w:rPr>
              <w:t>Aaron Milligan</w:t>
            </w:r>
          </w:p>
        </w:tc>
      </w:tr>
      <w:tr>
        <w:tc>
          <w:tcPr>
            <w:tcW w:type="dxa" w:w="3118"/>
            <w:shd w:val="clear" w:color="auto" w:fill="DCE6F1"/>
            <w:vAlign w:val="center"/>
          </w:tcPr>
          <w:p>
            <w:r>
              <w:rPr>
                <w:b/>
                <w:sz w:val="18"/>
              </w:rPr>
              <w:t>Property Area</w:t>
            </w:r>
          </w:p>
        </w:tc>
        <w:tc>
          <w:tcPr>
            <w:tcW w:type="dxa" w:w="6236"/>
            <w:vAlign w:val="center"/>
          </w:tcPr>
          <w:p>
            <w:r>
              <w:rPr>
                <w:sz w:val="18"/>
              </w:rPr>
              <w:t>5800.0 ha</w:t>
            </w:r>
          </w:p>
        </w:tc>
      </w:tr>
      <w:tr>
        <w:tc>
          <w:tcPr>
            <w:tcW w:type="dxa" w:w="3118"/>
            <w:shd w:val="clear" w:color="auto" w:fill="DCE6F1"/>
            <w:vAlign w:val="center"/>
          </w:tcPr>
          <w:p>
            <w:r>
              <w:rPr>
                <w:b/>
                <w:sz w:val="18"/>
              </w:rPr>
              <w:t>Year Established</w:t>
            </w:r>
          </w:p>
        </w:tc>
        <w:tc>
          <w:tcPr>
            <w:tcW w:type="dxa" w:w="6236"/>
            <w:vAlign w:val="center"/>
          </w:tcPr>
          <w:p>
            <w:r>
              <w:rPr>
                <w:sz w:val="18"/>
              </w:rPr>
              <w:t>2016</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30 June 2024</w:t>
            </w:r>
          </w:p>
        </w:tc>
      </w:tr>
      <w:tr>
        <w:tc>
          <w:tcPr>
            <w:tcW w:type="dxa" w:w="3118"/>
            <w:shd w:val="clear" w:color="auto" w:fill="DCE6F1"/>
            <w:vAlign w:val="center"/>
          </w:tcPr>
          <w:p>
            <w:r>
              <w:rPr>
                <w:b/>
                <w:sz w:val="18"/>
              </w:rPr>
              <w:t>Next Review</w:t>
            </w:r>
          </w:p>
        </w:tc>
        <w:tc>
          <w:tcPr>
            <w:tcW w:type="dxa" w:w="6236"/>
            <w:vAlign w:val="center"/>
          </w:tcPr>
          <w:p>
            <w:r>
              <w:rPr>
                <w:sz w:val="18"/>
              </w:rPr>
              <w:t>30 June 2026</w:t>
            </w:r>
          </w:p>
        </w:tc>
      </w:tr>
    </w:tbl>
    <w:p/>
    <w:p>
      <w:pPr>
        <w:pStyle w:val="Heading1"/>
      </w:pPr>
      <w:r>
        <w:rPr>
          <w:color w:val="1F497D"/>
        </w:rPr>
        <w:t>1.  OVERVIEW</w:t>
      </w:r>
    </w:p>
    <w:p>
      <w:r>
        <w:rPr>
          <w:b w:val="0"/>
          <w:i w:val="0"/>
          <w:sz w:val="20"/>
        </w:rPr>
        <w:t>Buloke Malting Barley is a registered export establishment located at 55 Sunraysia Highway, Donald VIC 3480, VIC. The establishment holds RE Number RE-VIC-2022-0188 and is registered to handle and export Cotton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60×25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S1–S8</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14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continuous-flow</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r>
        <w:tc>
          <w:tcPr>
            <w:tcW w:type="dxa" w:w="3685"/>
            <w:shd w:val="clear" w:color="auto" w:fill="F2F2F2"/>
            <w:vAlign w:val="center"/>
          </w:tcPr>
          <w:p>
            <w:r>
              <w:rPr>
                <w:sz w:val="18"/>
              </w:rPr>
              <w:t>In-line quality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Cotton.</w:t>
      </w:r>
    </w:p>
    <w:p>
      <w:pPr>
        <w:pStyle w:val="Heading2"/>
      </w:pPr>
      <w:r>
        <w:t>4.2  Lighting (C2)</w:t>
      </w:r>
    </w:p>
    <w:p>
      <w:r>
        <w:rPr>
          <w:b w:val="0"/>
          <w:i w:val="0"/>
          <w:sz w:val="20"/>
        </w:rPr>
        <w:t>LED high-bay luminaires throughout: 550 lux processing, 440 lux storage, 418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2 toilets, 2 hand basins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(3000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VICSTE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(WMP-1601 Rev 1):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cotton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Grain insect activity identified in the cotton storage area. Probe sampling in Bin 1 on 15 February 2025 detected Sitophilus granarius (grain weevil). An infestation treatment protocol has been initiated (phosphine fumigation scheduled) but eradication has not yet been confirmed.</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Aaron Milligan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30 June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