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Wubin Grain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RE-WA-2020-0099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WA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Lot 3 Brand Highway, Wubin WA 6612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Rice and Pulses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v2.6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Export Supervisor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Some lot relabelling events are reconciled at day-end rather than point-of-movement. One interim staging bay uses temporary mesh segregation pending permanent barrier installation.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Flow chart omits one alternate transfer path used during peak receival periods.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Substitution controls rely on single-operator checks for selected late-shift dispatches.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Occasional packaging QC records are attached to shift summary instead of individual lot files.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