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val="clear" w:color="auto" w:fill="1F497D"/>
          </w:tcPr>
          <w:p>
            <w:pPr>
              <w:jc w:val="left"/>
            </w:pPr>
            <w:r>
              <w:rPr>
                <w:b/>
                <w:color w:val="FFFFFF"/>
                <w:sz w:val="32"/>
              </w:rPr>
              <w:t>HACCP PLAN</w:t>
            </w:r>
          </w:p>
          <w:p>
            <w:r>
              <w:rPr>
                <w:color w:val="FFFFFF"/>
                <w:sz w:val="18"/>
              </w:rPr>
              <w:t>Hazard Analysis and Critical Control Point Plan</w:t>
            </w:r>
          </w:p>
          <w:p>
            <w:r>
              <w:rPr>
                <w:b/>
                <w:color w:val="FFFFFF"/>
                <w:sz w:val="20"/>
              </w:rPr>
              <w:t>Southridge Crops Pty Ltd</w:t>
            </w:r>
          </w:p>
        </w:tc>
        <w:tc>
          <w:tcPr>
            <w:tcW w:type="dxa" w:w="4703"/>
          </w:tcPr>
          <w:p>
            <w:r>
              <w:rPr>
                <w:sz w:val="16"/>
              </w:rPr>
              <w:t>RE Number:   RE-WA-3007</w:t>
              <w:br/>
            </w:r>
            <w:r>
              <w:rPr>
                <w:sz w:val="16"/>
              </w:rPr>
              <w:t>Doc Ref:        SOU-HACCP-008</w:t>
              <w:br/>
            </w:r>
            <w:r>
              <w:rPr>
                <w:sz w:val="16"/>
              </w:rPr>
              <w:t>Version:        4.7</w:t>
              <w:br/>
            </w:r>
            <w:r>
              <w:rPr>
                <w:sz w:val="16"/>
              </w:rPr>
              <w:t>Date:             April 2024</w:t>
              <w:br/>
            </w:r>
            <w:r>
              <w:rPr>
                <w:sz w:val="16"/>
              </w:rPr>
              <w:t>State:            New South Wales</w:t>
              <w:br/>
            </w:r>
          </w:p>
        </w:tc>
      </w:tr>
    </w:tbl>
    <w:p>
      <w:pPr>
        <w:spacing w:before="200" w:after="60"/>
      </w:pPr>
      <w:r>
        <w:rPr>
          <w:b/>
          <w:color w:val="1F497D"/>
          <w:sz w:val="24"/>
        </w:rPr>
        <w:t>1. Introduction, Scope and Product Description</w:t>
      </w:r>
    </w:p>
    <w:p>
      <w:pPr>
        <w:spacing w:after="60"/>
      </w:pPr>
      <w:r>
        <w:rPr>
          <w:sz w:val="20"/>
        </w:rPr>
        <w:t>Establishment: Southridge Crops Pty Ltd</w:t>
      </w:r>
    </w:p>
    <w:p>
      <w:pPr>
        <w:spacing w:after="60"/>
      </w:pPr>
      <w:r>
        <w:rPr>
          <w:sz w:val="20"/>
        </w:rPr>
        <w:t>Address: 8 Station Road, New South Wales</w:t>
      </w:r>
    </w:p>
    <w:p>
      <w:pPr>
        <w:spacing w:after="60"/>
      </w:pPr>
      <w:r>
        <w:rPr>
          <w:sz w:val="20"/>
        </w:rPr>
        <w:t>Commodity: Chickpeas (Desi, Kabuli), Red Lentils</w:t>
      </w:r>
    </w:p>
    <w:p>
      <w:pPr>
        <w:spacing w:after="60"/>
      </w:pPr>
      <w:r>
        <w:rPr>
          <w:sz w:val="20"/>
        </w:rPr>
        <w:t>Scope: Receival, drying, cleaning, sizing, colour sorting and packing of chickpeas and lentils for export. Registered area RE-QLD-2891, Millmerran facility.</w:t>
      </w:r>
    </w:p>
    <w:p>
      <w:pPr>
        <w:spacing w:after="60"/>
      </w:pPr>
      <w:r>
        <w:rPr>
          <w:sz w:val="20"/>
        </w:rPr>
        <w:t>Intended use: Chickpeas for retail and food service. Red lentils for retail soup/curry packs. Destinations: India, Pakistan, Bangladesh, Middle East.</w:t>
      </w:r>
    </w:p>
    <w:p>
      <w:pPr>
        <w:spacing w:before="200" w:after="60"/>
      </w:pPr>
      <w:r>
        <w:rPr>
          <w:b/>
          <w:color w:val="1F497D"/>
          <w:sz w:val="24"/>
        </w:rPr>
        <w:t>2. HACCP Team</w:t>
      </w:r>
    </w:p>
    <w:p>
      <w:pPr>
        <w:pStyle w:val="ListBullet"/>
        <w:spacing w:after="40"/>
      </w:pPr>
      <w:r>
        <w:rPr>
          <w:sz w:val="20"/>
        </w:rPr>
        <w:t>Manager 8 (Quality Lead)</w:t>
      </w:r>
    </w:p>
    <w:p>
      <w:pPr>
        <w:pStyle w:val="ListBullet"/>
        <w:spacing w:after="40"/>
      </w:pPr>
      <w:r>
        <w:rPr>
          <w:sz w:val="20"/>
        </w:rPr>
        <w:t>Operator 8A</w:t>
      </w:r>
    </w:p>
    <w:p>
      <w:pPr>
        <w:pStyle w:val="ListBullet"/>
        <w:spacing w:after="40"/>
      </w:pPr>
      <w:r>
        <w:rPr>
          <w:sz w:val="20"/>
        </w:rPr>
        <w:t>Operator 8B</w:t>
      </w:r>
    </w:p>
    <w:p>
      <w:pPr>
        <w:spacing w:before="200" w:after="60"/>
      </w:pPr>
      <w:r>
        <w:rPr>
          <w:b/>
          <w:color w:val="1F497D"/>
          <w:sz w:val="24"/>
        </w:rPr>
        <w:t>3. Process Flow Diagram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val="clear" w:color="auto" w:fill="1F497D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Step</w:t>
            </w:r>
          </w:p>
        </w:tc>
        <w:tc>
          <w:tcPr>
            <w:tcW w:type="dxa" w:w="2351"/>
            <w:shd w:val="clear" w:color="auto" w:fill="1F497D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Process</w:t>
            </w:r>
          </w:p>
        </w:tc>
        <w:tc>
          <w:tcPr>
            <w:tcW w:type="dxa" w:w="2351"/>
            <w:shd w:val="clear" w:color="auto" w:fill="1F497D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Input</w:t>
            </w:r>
          </w:p>
        </w:tc>
        <w:tc>
          <w:tcPr>
            <w:tcW w:type="dxa" w:w="2351"/>
            <w:shd w:val="clear" w:color="auto" w:fill="1F497D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Output</w:t>
            </w:r>
          </w:p>
        </w:tc>
      </w:tr>
      <w:tr>
        <w:tc>
          <w:tcPr>
            <w:tcW w:type="dxa" w:w="2351"/>
          </w:tcPr>
          <w:p>
            <w:pPr>
              <w:jc w:val="left"/>
            </w:pPr>
            <w:r/>
            <w:r>
              <w:rPr>
                <w:sz w:val="16"/>
              </w:rPr>
              <w:t>1</w:t>
            </w:r>
          </w:p>
        </w:tc>
        <w:tc>
          <w:tcPr>
            <w:tcW w:type="dxa" w:w="2351"/>
          </w:tcPr>
          <w:p>
            <w:pPr>
              <w:jc w:val="center"/>
            </w:pPr>
            <w:r/>
            <w:r>
              <w:rPr>
                <w:sz w:val="16"/>
              </w:rPr>
              <w:t>Receival / intake</w:t>
            </w:r>
          </w:p>
        </w:tc>
        <w:tc>
          <w:tcPr>
            <w:tcW w:type="dxa" w:w="2351"/>
          </w:tcPr>
          <w:p>
            <w:pPr>
              <w:jc w:val="center"/>
            </w:pPr>
            <w:r/>
            <w:r>
              <w:rPr>
                <w:sz w:val="16"/>
              </w:rPr>
              <w:t>Farm truck deliveries</w:t>
            </w:r>
          </w:p>
        </w:tc>
        <w:tc>
          <w:tcPr>
            <w:tcW w:type="dxa" w:w="2351"/>
          </w:tcPr>
          <w:p>
            <w:pPr>
              <w:jc w:val="center"/>
            </w:pPr>
            <w:r/>
            <w:r>
              <w:rPr>
                <w:sz w:val="16"/>
              </w:rPr>
              <w:t>Grain tipped into receival pit; probe sample for moisture, screenings</w:t>
            </w:r>
          </w:p>
        </w:tc>
      </w:tr>
      <w:tr>
        <w:tc>
          <w:tcPr>
            <w:tcW w:type="dxa" w:w="2351"/>
            <w:shd w:val="clear" w:color="auto" w:fill="EEF4FB"/>
          </w:tcPr>
          <w:p>
            <w:pPr>
              <w:jc w:val="left"/>
            </w:pPr>
            <w:r/>
            <w:r>
              <w:rPr>
                <w:sz w:val="16"/>
              </w:rPr>
              <w:t>2</w:t>
            </w:r>
          </w:p>
        </w:tc>
        <w:tc>
          <w:tcPr>
            <w:tcW w:type="dxa" w:w="2351"/>
            <w:shd w:val="clear" w:color="auto" w:fill="EEF4FB"/>
          </w:tcPr>
          <w:p>
            <w:pPr>
              <w:jc w:val="center"/>
            </w:pPr>
            <w:r/>
            <w:r>
              <w:rPr>
                <w:sz w:val="16"/>
              </w:rPr>
              <w:t>Drying (chickpeas if &gt;13% moisture)</w:t>
            </w:r>
          </w:p>
        </w:tc>
        <w:tc>
          <w:tcPr>
            <w:tcW w:type="dxa" w:w="2351"/>
            <w:shd w:val="clear" w:color="auto" w:fill="EEF4FB"/>
          </w:tcPr>
          <w:p>
            <w:pPr>
              <w:jc w:val="center"/>
            </w:pPr>
            <w:r/>
            <w:r>
              <w:rPr>
                <w:sz w:val="16"/>
              </w:rPr>
              <w:t>Wet chickpeas</w:t>
            </w:r>
          </w:p>
        </w:tc>
        <w:tc>
          <w:tcPr>
            <w:tcW w:type="dxa" w:w="2351"/>
            <w:shd w:val="clear" w:color="auto" w:fill="EEF4FB"/>
          </w:tcPr>
          <w:p>
            <w:pPr>
              <w:jc w:val="center"/>
            </w:pPr>
            <w:r/>
            <w:r>
              <w:rPr>
                <w:sz w:val="16"/>
              </w:rPr>
              <w:t>Dried to ≤12.5% moisture</w:t>
            </w:r>
          </w:p>
        </w:tc>
      </w:tr>
      <w:tr>
        <w:tc>
          <w:tcPr>
            <w:tcW w:type="dxa" w:w="2351"/>
          </w:tcPr>
          <w:p>
            <w:pPr>
              <w:jc w:val="left"/>
            </w:pPr>
            <w:r/>
            <w:r>
              <w:rPr>
                <w:sz w:val="16"/>
              </w:rPr>
              <w:t>3</w:t>
            </w:r>
          </w:p>
        </w:tc>
        <w:tc>
          <w:tcPr>
            <w:tcW w:type="dxa" w:w="2351"/>
          </w:tcPr>
          <w:p>
            <w:pPr>
              <w:jc w:val="center"/>
            </w:pPr>
            <w:r/>
            <w:r>
              <w:rPr>
                <w:sz w:val="16"/>
              </w:rPr>
              <w:t>Bulk storage</w:t>
            </w:r>
          </w:p>
        </w:tc>
        <w:tc>
          <w:tcPr>
            <w:tcW w:type="dxa" w:w="2351"/>
          </w:tcPr>
          <w:p>
            <w:pPr>
              <w:jc w:val="center"/>
            </w:pPr>
            <w:r/>
            <w:r>
              <w:rPr>
                <w:sz w:val="16"/>
              </w:rPr>
              <w:t>Dry grain</w:t>
            </w:r>
          </w:p>
        </w:tc>
        <w:tc>
          <w:tcPr>
            <w:tcW w:type="dxa" w:w="2351"/>
          </w:tcPr>
          <w:p>
            <w:pPr>
              <w:jc w:val="center"/>
            </w:pPr>
            <w:r/>
            <w:r>
              <w:rPr>
                <w:sz w:val="16"/>
              </w:rPr>
              <w:t>Allocated to SILO-1 (chickpeas) or SILO-2 (lentils)</w:t>
            </w:r>
          </w:p>
        </w:tc>
      </w:tr>
      <w:tr>
        <w:tc>
          <w:tcPr>
            <w:tcW w:type="dxa" w:w="2351"/>
            <w:shd w:val="clear" w:color="auto" w:fill="EEF4FB"/>
          </w:tcPr>
          <w:p>
            <w:pPr>
              <w:jc w:val="left"/>
            </w:pPr>
            <w:r/>
            <w:r>
              <w:rPr>
                <w:sz w:val="16"/>
              </w:rPr>
              <w:t>4</w:t>
            </w:r>
          </w:p>
        </w:tc>
        <w:tc>
          <w:tcPr>
            <w:tcW w:type="dxa" w:w="2351"/>
            <w:shd w:val="clear" w:color="auto" w:fill="EEF4FB"/>
          </w:tcPr>
          <w:p>
            <w:pPr>
              <w:jc w:val="center"/>
            </w:pPr>
            <w:r/>
            <w:r>
              <w:rPr>
                <w:sz w:val="16"/>
              </w:rPr>
              <w:t>Pre-cleaning</w:t>
            </w:r>
          </w:p>
        </w:tc>
        <w:tc>
          <w:tcPr>
            <w:tcW w:type="dxa" w:w="2351"/>
            <w:shd w:val="clear" w:color="auto" w:fill="EEF4FB"/>
          </w:tcPr>
          <w:p>
            <w:pPr>
              <w:jc w:val="center"/>
            </w:pPr>
            <w:r/>
            <w:r>
              <w:rPr>
                <w:sz w:val="16"/>
              </w:rPr>
              <w:t>Stored grain</w:t>
            </w:r>
          </w:p>
        </w:tc>
        <w:tc>
          <w:tcPr>
            <w:tcW w:type="dxa" w:w="2351"/>
            <w:shd w:val="clear" w:color="auto" w:fill="EEF4FB"/>
          </w:tcPr>
          <w:p>
            <w:pPr>
              <w:jc w:val="center"/>
            </w:pPr>
            <w:r/>
            <w:r>
              <w:rPr>
                <w:sz w:val="16"/>
              </w:rPr>
              <w:t>Pre-cleaner removes coarse trash and weed seeds</w:t>
            </w:r>
          </w:p>
        </w:tc>
      </w:tr>
      <w:tr>
        <w:tc>
          <w:tcPr>
            <w:tcW w:type="dxa" w:w="2351"/>
          </w:tcPr>
          <w:p>
            <w:pPr>
              <w:jc w:val="left"/>
            </w:pPr>
            <w:r/>
            <w:r>
              <w:rPr>
                <w:sz w:val="16"/>
              </w:rPr>
              <w:t>5</w:t>
            </w:r>
          </w:p>
        </w:tc>
        <w:tc>
          <w:tcPr>
            <w:tcW w:type="dxa" w:w="2351"/>
          </w:tcPr>
          <w:p>
            <w:pPr>
              <w:jc w:val="center"/>
            </w:pPr>
            <w:r/>
            <w:r>
              <w:rPr>
                <w:sz w:val="16"/>
              </w:rPr>
              <w:t>Gravity separation</w:t>
            </w:r>
          </w:p>
        </w:tc>
        <w:tc>
          <w:tcPr>
            <w:tcW w:type="dxa" w:w="2351"/>
          </w:tcPr>
          <w:p>
            <w:pPr>
              <w:jc w:val="center"/>
            </w:pPr>
            <w:r/>
            <w:r>
              <w:rPr>
                <w:sz w:val="16"/>
              </w:rPr>
              <w:t>Pre-cleaned grain</w:t>
            </w:r>
          </w:p>
        </w:tc>
        <w:tc>
          <w:tcPr>
            <w:tcW w:type="dxa" w:w="2351"/>
          </w:tcPr>
          <w:p>
            <w:pPr>
              <w:jc w:val="center"/>
            </w:pPr>
            <w:r/>
            <w:r>
              <w:rPr>
                <w:sz w:val="16"/>
              </w:rPr>
              <w:t>Density separation removes immature seeds</w:t>
            </w:r>
          </w:p>
        </w:tc>
      </w:tr>
      <w:tr>
        <w:tc>
          <w:tcPr>
            <w:tcW w:type="dxa" w:w="2351"/>
            <w:shd w:val="clear" w:color="auto" w:fill="EEF4FB"/>
          </w:tcPr>
          <w:p>
            <w:pPr>
              <w:jc w:val="left"/>
            </w:pPr>
            <w:r/>
            <w:r>
              <w:rPr>
                <w:sz w:val="16"/>
              </w:rPr>
              <w:t>6</w:t>
            </w:r>
          </w:p>
        </w:tc>
        <w:tc>
          <w:tcPr>
            <w:tcW w:type="dxa" w:w="2351"/>
            <w:shd w:val="clear" w:color="auto" w:fill="EEF4FB"/>
          </w:tcPr>
          <w:p>
            <w:pPr>
              <w:jc w:val="center"/>
            </w:pPr>
            <w:r/>
            <w:r>
              <w:rPr>
                <w:sz w:val="16"/>
              </w:rPr>
              <w:t>Sizing</w:t>
            </w:r>
          </w:p>
        </w:tc>
        <w:tc>
          <w:tcPr>
            <w:tcW w:type="dxa" w:w="2351"/>
            <w:shd w:val="clear" w:color="auto" w:fill="EEF4FB"/>
          </w:tcPr>
          <w:p>
            <w:pPr>
              <w:jc w:val="center"/>
            </w:pPr>
            <w:r/>
            <w:r>
              <w:rPr>
                <w:sz w:val="16"/>
              </w:rPr>
              <w:t>Gravity-separated grain</w:t>
            </w:r>
          </w:p>
        </w:tc>
        <w:tc>
          <w:tcPr>
            <w:tcW w:type="dxa" w:w="2351"/>
            <w:shd w:val="clear" w:color="auto" w:fill="EEF4FB"/>
          </w:tcPr>
          <w:p>
            <w:pPr>
              <w:jc w:val="center"/>
            </w:pPr>
            <w:r/>
            <w:r>
              <w:rPr>
                <w:sz w:val="16"/>
              </w:rPr>
              <w:t>Screened to export grade size</w:t>
            </w:r>
          </w:p>
        </w:tc>
      </w:tr>
      <w:tr>
        <w:tc>
          <w:tcPr>
            <w:tcW w:type="dxa" w:w="2351"/>
          </w:tcPr>
          <w:p>
            <w:pPr>
              <w:jc w:val="left"/>
            </w:pPr>
            <w:r/>
            <w:r>
              <w:rPr>
                <w:sz w:val="16"/>
              </w:rPr>
              <w:t>7</w:t>
            </w:r>
          </w:p>
        </w:tc>
        <w:tc>
          <w:tcPr>
            <w:tcW w:type="dxa" w:w="2351"/>
          </w:tcPr>
          <w:p>
            <w:pPr>
              <w:jc w:val="center"/>
            </w:pPr>
            <w:r/>
            <w:r>
              <w:rPr>
                <w:sz w:val="16"/>
              </w:rPr>
              <w:t>Colour sorting</w:t>
            </w:r>
          </w:p>
        </w:tc>
        <w:tc>
          <w:tcPr>
            <w:tcW w:type="dxa" w:w="2351"/>
          </w:tcPr>
          <w:p>
            <w:pPr>
              <w:jc w:val="center"/>
            </w:pPr>
            <w:r/>
            <w:r>
              <w:rPr>
                <w:sz w:val="16"/>
              </w:rPr>
              <w:t>Sized grain</w:t>
            </w:r>
          </w:p>
        </w:tc>
        <w:tc>
          <w:tcPr>
            <w:tcW w:type="dxa" w:w="2351"/>
          </w:tcPr>
          <w:p>
            <w:pPr>
              <w:jc w:val="center"/>
            </w:pPr>
            <w:r/>
            <w:r>
              <w:rPr>
                <w:sz w:val="16"/>
              </w:rPr>
              <w:t>Optical colour sorter removes discoloured, mouldy seeds</w:t>
            </w:r>
          </w:p>
        </w:tc>
      </w:tr>
      <w:tr>
        <w:tc>
          <w:tcPr>
            <w:tcW w:type="dxa" w:w="2351"/>
            <w:shd w:val="clear" w:color="auto" w:fill="EEF4FB"/>
          </w:tcPr>
          <w:p>
            <w:pPr>
              <w:jc w:val="left"/>
            </w:pPr>
            <w:r/>
            <w:r>
              <w:rPr>
                <w:sz w:val="16"/>
              </w:rPr>
              <w:t>8</w:t>
            </w:r>
          </w:p>
        </w:tc>
        <w:tc>
          <w:tcPr>
            <w:tcW w:type="dxa" w:w="2351"/>
            <w:shd w:val="clear" w:color="auto" w:fill="EEF4FB"/>
          </w:tcPr>
          <w:p>
            <w:pPr>
              <w:jc w:val="center"/>
            </w:pPr>
            <w:r/>
            <w:r>
              <w:rPr>
                <w:sz w:val="16"/>
              </w:rPr>
              <w:t>Packing</w:t>
            </w:r>
          </w:p>
        </w:tc>
        <w:tc>
          <w:tcPr>
            <w:tcW w:type="dxa" w:w="2351"/>
            <w:shd w:val="clear" w:color="auto" w:fill="EEF4FB"/>
          </w:tcPr>
          <w:p>
            <w:pPr>
              <w:jc w:val="center"/>
            </w:pPr>
            <w:r/>
            <w:r>
              <w:rPr>
                <w:sz w:val="16"/>
              </w:rPr>
              <w:t>Sorted grain</w:t>
            </w:r>
          </w:p>
        </w:tc>
        <w:tc>
          <w:tcPr>
            <w:tcW w:type="dxa" w:w="2351"/>
            <w:shd w:val="clear" w:color="auto" w:fill="EEF4FB"/>
          </w:tcPr>
          <w:p>
            <w:pPr>
              <w:jc w:val="center"/>
            </w:pPr>
            <w:r/>
            <w:r>
              <w:rPr>
                <w:sz w:val="16"/>
              </w:rPr>
              <w:t>Packed in 25 kg woven bags or 500 kg bulk bags</w:t>
            </w:r>
          </w:p>
        </w:tc>
      </w:tr>
      <w:tr>
        <w:tc>
          <w:tcPr>
            <w:tcW w:type="dxa" w:w="2351"/>
          </w:tcPr>
          <w:p>
            <w:pPr>
              <w:jc w:val="left"/>
            </w:pPr>
            <w:r/>
            <w:r>
              <w:rPr>
                <w:sz w:val="16"/>
              </w:rPr>
              <w:t>9</w:t>
            </w:r>
          </w:p>
        </w:tc>
        <w:tc>
          <w:tcPr>
            <w:tcW w:type="dxa" w:w="2351"/>
          </w:tcPr>
          <w:p>
            <w:pPr>
              <w:jc w:val="center"/>
            </w:pPr>
            <w:r/>
            <w:r>
              <w:rPr>
                <w:sz w:val="16"/>
              </w:rPr>
              <w:t>Fumigation (if required)</w:t>
            </w:r>
          </w:p>
        </w:tc>
        <w:tc>
          <w:tcPr>
            <w:tcW w:type="dxa" w:w="2351"/>
          </w:tcPr>
          <w:p>
            <w:pPr>
              <w:jc w:val="center"/>
            </w:pPr>
            <w:r/>
            <w:r>
              <w:rPr>
                <w:sz w:val="16"/>
              </w:rPr>
              <w:t>Packed bags in sealed shed</w:t>
            </w:r>
          </w:p>
        </w:tc>
        <w:tc>
          <w:tcPr>
            <w:tcW w:type="dxa" w:w="2351"/>
          </w:tcPr>
          <w:p>
            <w:pPr>
              <w:jc w:val="center"/>
            </w:pPr>
            <w:r/>
            <w:r>
              <w:rPr>
                <w:sz w:val="16"/>
              </w:rPr>
              <w:t>Phosphine fumigation of export packs</w:t>
            </w:r>
          </w:p>
        </w:tc>
      </w:tr>
      <w:tr>
        <w:tc>
          <w:tcPr>
            <w:tcW w:type="dxa" w:w="2351"/>
            <w:shd w:val="clear" w:color="auto" w:fill="EEF4FB"/>
          </w:tcPr>
          <w:p>
            <w:pPr>
              <w:jc w:val="left"/>
            </w:pPr>
            <w:r/>
            <w:r>
              <w:rPr>
                <w:sz w:val="16"/>
              </w:rPr>
              <w:t>10</w:t>
            </w:r>
          </w:p>
        </w:tc>
        <w:tc>
          <w:tcPr>
            <w:tcW w:type="dxa" w:w="2351"/>
            <w:shd w:val="clear" w:color="auto" w:fill="EEF4FB"/>
          </w:tcPr>
          <w:p>
            <w:pPr>
              <w:jc w:val="center"/>
            </w:pPr>
            <w:r/>
            <w:r>
              <w:rPr>
                <w:sz w:val="16"/>
              </w:rPr>
              <w:t>Dispatch</w:t>
            </w:r>
          </w:p>
        </w:tc>
        <w:tc>
          <w:tcPr>
            <w:tcW w:type="dxa" w:w="2351"/>
            <w:shd w:val="clear" w:color="auto" w:fill="EEF4FB"/>
          </w:tcPr>
          <w:p>
            <w:pPr>
              <w:jc w:val="center"/>
            </w:pPr>
            <w:r/>
            <w:r>
              <w:rPr>
                <w:sz w:val="16"/>
              </w:rPr>
              <w:t>Fumigated packed goods</w:t>
            </w:r>
          </w:p>
        </w:tc>
        <w:tc>
          <w:tcPr>
            <w:tcW w:type="dxa" w:w="2351"/>
            <w:shd w:val="clear" w:color="auto" w:fill="EEF4FB"/>
          </w:tcPr>
          <w:p>
            <w:pPr>
              <w:jc w:val="center"/>
            </w:pPr>
            <w:r/>
            <w:r>
              <w:rPr>
                <w:sz w:val="16"/>
              </w:rPr>
              <w:t>Loaded to container; dispatch docket signed</w:t>
            </w:r>
          </w:p>
        </w:tc>
      </w:tr>
    </w:tbl>
    <w:p/>
    <w:p>
      <w:pPr>
        <w:spacing w:before="200" w:after="60"/>
      </w:pPr>
      <w:r>
        <w:rPr>
          <w:b/>
          <w:color w:val="1F497D"/>
          <w:sz w:val="24"/>
        </w:rPr>
        <w:t>4. Hazard Analysis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176"/>
        <w:gridCol w:w="1176"/>
        <w:gridCol w:w="1176"/>
        <w:gridCol w:w="1176"/>
        <w:gridCol w:w="1176"/>
        <w:gridCol w:w="1176"/>
        <w:gridCol w:w="1176"/>
        <w:gridCol w:w="1176"/>
      </w:tblGrid>
      <w:tr>
        <w:tc>
          <w:tcPr>
            <w:tcW w:type="dxa" w:w="1176"/>
            <w:shd w:val="clear" w:color="auto" w:fill="1F497D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Step(s)</w:t>
            </w:r>
          </w:p>
        </w:tc>
        <w:tc>
          <w:tcPr>
            <w:tcW w:type="dxa" w:w="1176"/>
            <w:shd w:val="clear" w:color="auto" w:fill="1F497D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Hazard Type</w:t>
            </w:r>
          </w:p>
        </w:tc>
        <w:tc>
          <w:tcPr>
            <w:tcW w:type="dxa" w:w="1176"/>
            <w:shd w:val="clear" w:color="auto" w:fill="1F497D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Hazard Description</w:t>
            </w:r>
          </w:p>
        </w:tc>
        <w:tc>
          <w:tcPr>
            <w:tcW w:type="dxa" w:w="1176"/>
            <w:shd w:val="clear" w:color="auto" w:fill="1F497D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Prob</w:t>
            </w:r>
          </w:p>
        </w:tc>
        <w:tc>
          <w:tcPr>
            <w:tcW w:type="dxa" w:w="1176"/>
            <w:shd w:val="clear" w:color="auto" w:fill="1F497D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Sev</w:t>
            </w:r>
          </w:p>
        </w:tc>
        <w:tc>
          <w:tcPr>
            <w:tcW w:type="dxa" w:w="1176"/>
            <w:shd w:val="clear" w:color="auto" w:fill="1F497D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Risk</w:t>
            </w:r>
          </w:p>
        </w:tc>
        <w:tc>
          <w:tcPr>
            <w:tcW w:type="dxa" w:w="1176"/>
            <w:shd w:val="clear" w:color="auto" w:fill="1F497D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CCP?</w:t>
            </w:r>
          </w:p>
        </w:tc>
        <w:tc>
          <w:tcPr>
            <w:tcW w:type="dxa" w:w="1176"/>
            <w:shd w:val="clear" w:color="auto" w:fill="1F497D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Control Summary</w:t>
            </w:r>
          </w:p>
        </w:tc>
      </w:tr>
      <w:tr>
        <w:tc>
          <w:tcPr>
            <w:tcW w:type="dxa" w:w="1176"/>
          </w:tcPr>
          <w:p>
            <w:pPr>
              <w:jc w:val="left"/>
            </w:pPr>
            <w:r/>
            <w:r>
              <w:rPr>
                <w:sz w:val="16"/>
              </w:rPr>
              <w:t>1–3</w:t>
            </w:r>
          </w:p>
        </w:tc>
        <w:tc>
          <w:tcPr>
            <w:tcW w:type="dxa" w:w="1176"/>
          </w:tcPr>
          <w:p>
            <w:pPr>
              <w:jc w:val="center"/>
            </w:pPr>
            <w:r/>
            <w:r>
              <w:rPr>
                <w:sz w:val="16"/>
              </w:rPr>
              <w:t>Chem</w:t>
            </w:r>
          </w:p>
        </w:tc>
        <w:tc>
          <w:tcPr>
            <w:tcW w:type="dxa" w:w="1176"/>
          </w:tcPr>
          <w:p>
            <w:pPr>
              <w:jc w:val="center"/>
            </w:pPr>
            <w:r/>
            <w:r>
              <w:rPr>
                <w:sz w:val="16"/>
              </w:rPr>
              <w:t>Mycotoxin (Aflatoxin, Ochratoxin A) from mould</w:t>
            </w:r>
          </w:p>
        </w:tc>
        <w:tc>
          <w:tcPr>
            <w:tcW w:type="dxa" w:w="1176"/>
          </w:tcPr>
          <w:p>
            <w:pPr>
              <w:jc w:val="center"/>
            </w:pPr>
            <w:r/>
            <w:r>
              <w:rPr>
                <w:sz w:val="16"/>
              </w:rPr>
              <w:t>2</w:t>
            </w:r>
          </w:p>
        </w:tc>
        <w:tc>
          <w:tcPr>
            <w:tcW w:type="dxa" w:w="1176"/>
          </w:tcPr>
          <w:p>
            <w:pPr>
              <w:jc w:val="center"/>
            </w:pPr>
            <w:r/>
            <w:r>
              <w:rPr>
                <w:sz w:val="16"/>
              </w:rPr>
              <w:t>3</w:t>
            </w:r>
          </w:p>
        </w:tc>
        <w:tc>
          <w:tcPr>
            <w:tcW w:type="dxa" w:w="1176"/>
          </w:tcPr>
          <w:p>
            <w:pPr>
              <w:jc w:val="center"/>
            </w:pPr>
            <w:r/>
            <w:r>
              <w:rPr>
                <w:sz w:val="16"/>
              </w:rPr>
              <w:t>6</w:t>
            </w:r>
          </w:p>
        </w:tc>
        <w:tc>
          <w:tcPr>
            <w:tcW w:type="dxa" w:w="1176"/>
          </w:tcPr>
          <w:p>
            <w:pPr>
              <w:jc w:val="center"/>
            </w:pPr>
            <w:r/>
            <w:r>
              <w:rPr>
                <w:sz w:val="16"/>
              </w:rPr>
              <w:t>CCP-1</w:t>
            </w:r>
          </w:p>
        </w:tc>
        <w:tc>
          <w:tcPr>
            <w:tcW w:type="dxa" w:w="1176"/>
          </w:tcPr>
          <w:p>
            <w:pPr>
              <w:jc w:val="center"/>
            </w:pPr>
            <w:r/>
            <w:r>
              <w:rPr>
                <w:sz w:val="16"/>
              </w:rPr>
              <w:t>See HACCP Control Chart</w:t>
            </w:r>
          </w:p>
        </w:tc>
      </w:tr>
      <w:tr>
        <w:tc>
          <w:tcPr>
            <w:tcW w:type="dxa" w:w="1176"/>
            <w:shd w:val="clear" w:color="auto" w:fill="EEF4FB"/>
          </w:tcPr>
          <w:p>
            <w:pPr>
              <w:jc w:val="left"/>
            </w:pPr>
            <w:r/>
            <w:r>
              <w:rPr>
                <w:sz w:val="16"/>
              </w:rPr>
              <w:t>1</w:t>
            </w:r>
          </w:p>
        </w:tc>
        <w:tc>
          <w:tcPr>
            <w:tcW w:type="dxa" w:w="1176"/>
            <w:shd w:val="clear" w:color="auto" w:fill="EEF4FB"/>
          </w:tcPr>
          <w:p>
            <w:pPr>
              <w:jc w:val="center"/>
            </w:pPr>
            <w:r/>
            <w:r>
              <w:rPr>
                <w:sz w:val="16"/>
              </w:rPr>
              <w:t>Chem</w:t>
            </w:r>
          </w:p>
        </w:tc>
        <w:tc>
          <w:tcPr>
            <w:tcW w:type="dxa" w:w="1176"/>
            <w:shd w:val="clear" w:color="auto" w:fill="EEF4FB"/>
          </w:tcPr>
          <w:p>
            <w:pPr>
              <w:jc w:val="center"/>
            </w:pPr>
            <w:r/>
            <w:r>
              <w:rPr>
                <w:sz w:val="16"/>
              </w:rPr>
              <w:t>Pesticide MRL exceedance</w:t>
            </w:r>
          </w:p>
        </w:tc>
        <w:tc>
          <w:tcPr>
            <w:tcW w:type="dxa" w:w="1176"/>
            <w:shd w:val="clear" w:color="auto" w:fill="EEF4FB"/>
          </w:tcPr>
          <w:p>
            <w:pPr>
              <w:jc w:val="center"/>
            </w:pPr>
            <w:r/>
            <w:r>
              <w:rPr>
                <w:sz w:val="16"/>
              </w:rPr>
              <w:t>2</w:t>
            </w:r>
          </w:p>
        </w:tc>
        <w:tc>
          <w:tcPr>
            <w:tcW w:type="dxa" w:w="1176"/>
            <w:shd w:val="clear" w:color="auto" w:fill="EEF4FB"/>
          </w:tcPr>
          <w:p>
            <w:pPr>
              <w:jc w:val="center"/>
            </w:pPr>
            <w:r/>
            <w:r>
              <w:rPr>
                <w:sz w:val="16"/>
              </w:rPr>
              <w:t>3</w:t>
            </w:r>
          </w:p>
        </w:tc>
        <w:tc>
          <w:tcPr>
            <w:tcW w:type="dxa" w:w="1176"/>
            <w:shd w:val="clear" w:color="auto" w:fill="EEF4FB"/>
          </w:tcPr>
          <w:p>
            <w:pPr>
              <w:jc w:val="center"/>
            </w:pPr>
            <w:r/>
            <w:r>
              <w:rPr>
                <w:sz w:val="16"/>
              </w:rPr>
              <w:t>6</w:t>
            </w:r>
          </w:p>
        </w:tc>
        <w:tc>
          <w:tcPr>
            <w:tcW w:type="dxa" w:w="1176"/>
            <w:shd w:val="clear" w:color="auto" w:fill="EEF4FB"/>
          </w:tcPr>
          <w:p>
            <w:pPr>
              <w:jc w:val="center"/>
            </w:pPr>
            <w:r/>
            <w:r>
              <w:rPr>
                <w:sz w:val="16"/>
              </w:rPr>
              <w:t>CCP-2</w:t>
            </w:r>
          </w:p>
        </w:tc>
        <w:tc>
          <w:tcPr>
            <w:tcW w:type="dxa" w:w="1176"/>
            <w:shd w:val="clear" w:color="auto" w:fill="EEF4FB"/>
          </w:tcPr>
          <w:p>
            <w:pPr>
              <w:jc w:val="center"/>
            </w:pPr>
            <w:r/>
            <w:r>
              <w:rPr>
                <w:sz w:val="16"/>
              </w:rPr>
              <w:t>See HACCP Control Chart</w:t>
            </w:r>
          </w:p>
        </w:tc>
      </w:tr>
      <w:tr>
        <w:tc>
          <w:tcPr>
            <w:tcW w:type="dxa" w:w="1176"/>
          </w:tcPr>
          <w:p>
            <w:pPr>
              <w:jc w:val="left"/>
            </w:pPr>
            <w:r/>
            <w:r>
              <w:rPr>
                <w:sz w:val="16"/>
              </w:rPr>
              <w:t>4–7</w:t>
            </w:r>
          </w:p>
        </w:tc>
        <w:tc>
          <w:tcPr>
            <w:tcW w:type="dxa" w:w="1176"/>
          </w:tcPr>
          <w:p>
            <w:pPr>
              <w:jc w:val="center"/>
            </w:pPr>
            <w:r/>
            <w:r>
              <w:rPr>
                <w:sz w:val="16"/>
              </w:rPr>
              <w:t>Phys</w:t>
            </w:r>
          </w:p>
        </w:tc>
        <w:tc>
          <w:tcPr>
            <w:tcW w:type="dxa" w:w="1176"/>
          </w:tcPr>
          <w:p>
            <w:pPr>
              <w:jc w:val="center"/>
            </w:pPr>
            <w:r/>
            <w:r>
              <w:rPr>
                <w:sz w:val="16"/>
              </w:rPr>
              <w:t>Foreign material — stones, metal, glass</w:t>
            </w:r>
          </w:p>
        </w:tc>
        <w:tc>
          <w:tcPr>
            <w:tcW w:type="dxa" w:w="1176"/>
          </w:tcPr>
          <w:p>
            <w:pPr>
              <w:jc w:val="center"/>
            </w:pPr>
            <w:r/>
            <w:r>
              <w:rPr>
                <w:sz w:val="16"/>
              </w:rPr>
              <w:t>2</w:t>
            </w:r>
          </w:p>
        </w:tc>
        <w:tc>
          <w:tcPr>
            <w:tcW w:type="dxa" w:w="1176"/>
          </w:tcPr>
          <w:p>
            <w:pPr>
              <w:jc w:val="center"/>
            </w:pPr>
            <w:r/>
            <w:r>
              <w:rPr>
                <w:sz w:val="16"/>
              </w:rPr>
              <w:t>3</w:t>
            </w:r>
          </w:p>
        </w:tc>
        <w:tc>
          <w:tcPr>
            <w:tcW w:type="dxa" w:w="1176"/>
          </w:tcPr>
          <w:p>
            <w:pPr>
              <w:jc w:val="center"/>
            </w:pPr>
            <w:r/>
            <w:r>
              <w:rPr>
                <w:sz w:val="16"/>
              </w:rPr>
              <w:t>6</w:t>
            </w:r>
          </w:p>
        </w:tc>
        <w:tc>
          <w:tcPr>
            <w:tcW w:type="dxa" w:w="1176"/>
          </w:tcPr>
          <w:p>
            <w:pPr>
              <w:jc w:val="center"/>
            </w:pPr>
            <w:r/>
            <w:r>
              <w:rPr>
                <w:sz w:val="16"/>
              </w:rPr>
              <w:t>CCP-3</w:t>
            </w:r>
          </w:p>
        </w:tc>
        <w:tc>
          <w:tcPr>
            <w:tcW w:type="dxa" w:w="1176"/>
          </w:tcPr>
          <w:p>
            <w:pPr>
              <w:jc w:val="center"/>
            </w:pPr>
            <w:r/>
            <w:r>
              <w:rPr>
                <w:sz w:val="16"/>
              </w:rPr>
              <w:t>See HACCP Control Chart</w:t>
            </w:r>
          </w:p>
        </w:tc>
      </w:tr>
      <w:tr>
        <w:tc>
          <w:tcPr>
            <w:tcW w:type="dxa" w:w="1176"/>
            <w:shd w:val="clear" w:color="auto" w:fill="EEF4FB"/>
          </w:tcPr>
          <w:p>
            <w:pPr>
              <w:jc w:val="left"/>
            </w:pPr>
            <w:r/>
            <w:r>
              <w:rPr>
                <w:sz w:val="16"/>
              </w:rPr>
              <w:t>5–6</w:t>
            </w:r>
          </w:p>
        </w:tc>
        <w:tc>
          <w:tcPr>
            <w:tcW w:type="dxa" w:w="1176"/>
            <w:shd w:val="clear" w:color="auto" w:fill="EEF4FB"/>
          </w:tcPr>
          <w:p>
            <w:pPr>
              <w:jc w:val="center"/>
            </w:pPr>
            <w:r/>
            <w:r>
              <w:rPr>
                <w:sz w:val="16"/>
              </w:rPr>
              <w:t>Bio</w:t>
            </w:r>
          </w:p>
        </w:tc>
        <w:tc>
          <w:tcPr>
            <w:tcW w:type="dxa" w:w="1176"/>
            <w:shd w:val="clear" w:color="auto" w:fill="EEF4FB"/>
          </w:tcPr>
          <w:p>
            <w:pPr>
              <w:jc w:val="center"/>
            </w:pPr>
            <w:r/>
            <w:r>
              <w:rPr>
                <w:sz w:val="16"/>
              </w:rPr>
              <w:t>Insect infestation (bruchids, weevils) in storage</w:t>
            </w:r>
          </w:p>
        </w:tc>
        <w:tc>
          <w:tcPr>
            <w:tcW w:type="dxa" w:w="1176"/>
            <w:shd w:val="clear" w:color="auto" w:fill="EEF4FB"/>
          </w:tcPr>
          <w:p>
            <w:pPr>
              <w:jc w:val="center"/>
            </w:pPr>
            <w:r/>
            <w:r>
              <w:rPr>
                <w:sz w:val="16"/>
              </w:rPr>
              <w:t>2</w:t>
            </w:r>
          </w:p>
        </w:tc>
        <w:tc>
          <w:tcPr>
            <w:tcW w:type="dxa" w:w="1176"/>
            <w:shd w:val="clear" w:color="auto" w:fill="EEF4FB"/>
          </w:tcPr>
          <w:p>
            <w:pPr>
              <w:jc w:val="center"/>
            </w:pPr>
            <w:r/>
            <w:r>
              <w:rPr>
                <w:sz w:val="16"/>
              </w:rPr>
              <w:t>2</w:t>
            </w:r>
          </w:p>
        </w:tc>
        <w:tc>
          <w:tcPr>
            <w:tcW w:type="dxa" w:w="1176"/>
            <w:shd w:val="clear" w:color="auto" w:fill="EEF4FB"/>
          </w:tcPr>
          <w:p>
            <w:pPr>
              <w:jc w:val="center"/>
            </w:pPr>
            <w:r/>
            <w:r>
              <w:rPr>
                <w:sz w:val="16"/>
              </w:rPr>
              <w:t>4</w:t>
            </w:r>
          </w:p>
        </w:tc>
        <w:tc>
          <w:tcPr>
            <w:tcW w:type="dxa" w:w="1176"/>
            <w:shd w:val="clear" w:color="auto" w:fill="EEF4FB"/>
          </w:tcPr>
          <w:p>
            <w:pPr>
              <w:jc w:val="center"/>
            </w:pPr>
            <w:r/>
            <w:r>
              <w:rPr>
                <w:sz w:val="16"/>
              </w:rPr>
              <w:t>—</w:t>
            </w:r>
          </w:p>
        </w:tc>
        <w:tc>
          <w:tcPr>
            <w:tcW w:type="dxa" w:w="1176"/>
            <w:shd w:val="clear" w:color="auto" w:fill="EEF4FB"/>
          </w:tcPr>
          <w:p>
            <w:pPr>
              <w:jc w:val="center"/>
            </w:pPr>
            <w:r/>
            <w:r>
              <w:rPr>
                <w:sz w:val="16"/>
              </w:rPr>
              <w:t>GMP / PRP control</w:t>
            </w:r>
          </w:p>
        </w:tc>
      </w:tr>
      <w:tr>
        <w:tc>
          <w:tcPr>
            <w:tcW w:type="dxa" w:w="1176"/>
          </w:tcPr>
          <w:p>
            <w:pPr>
              <w:jc w:val="left"/>
            </w:pPr>
            <w:r/>
            <w:r>
              <w:rPr>
                <w:sz w:val="16"/>
              </w:rPr>
              <w:t>7</w:t>
            </w:r>
          </w:p>
        </w:tc>
        <w:tc>
          <w:tcPr>
            <w:tcW w:type="dxa" w:w="1176"/>
          </w:tcPr>
          <w:p>
            <w:pPr>
              <w:jc w:val="center"/>
            </w:pPr>
            <w:r/>
            <w:r>
              <w:rPr>
                <w:sz w:val="16"/>
              </w:rPr>
              <w:t>Chem</w:t>
            </w:r>
          </w:p>
        </w:tc>
        <w:tc>
          <w:tcPr>
            <w:tcW w:type="dxa" w:w="1176"/>
          </w:tcPr>
          <w:p>
            <w:pPr>
              <w:jc w:val="center"/>
            </w:pPr>
            <w:r/>
            <w:r>
              <w:rPr>
                <w:sz w:val="16"/>
              </w:rPr>
              <w:t>Chemical cross-contact from colour sorter lubricants</w:t>
            </w:r>
          </w:p>
        </w:tc>
        <w:tc>
          <w:tcPr>
            <w:tcW w:type="dxa" w:w="1176"/>
          </w:tcPr>
          <w:p>
            <w:pPr>
              <w:jc w:val="center"/>
            </w:pPr>
            <w:r/>
            <w:r>
              <w:rPr>
                <w:sz w:val="16"/>
              </w:rPr>
              <w:t>1</w:t>
            </w:r>
          </w:p>
        </w:tc>
        <w:tc>
          <w:tcPr>
            <w:tcW w:type="dxa" w:w="1176"/>
          </w:tcPr>
          <w:p>
            <w:pPr>
              <w:jc w:val="center"/>
            </w:pPr>
            <w:r/>
            <w:r>
              <w:rPr>
                <w:sz w:val="16"/>
              </w:rPr>
              <w:t>2</w:t>
            </w:r>
          </w:p>
        </w:tc>
        <w:tc>
          <w:tcPr>
            <w:tcW w:type="dxa" w:w="1176"/>
          </w:tcPr>
          <w:p>
            <w:pPr>
              <w:jc w:val="center"/>
            </w:pPr>
            <w:r/>
            <w:r>
              <w:rPr>
                <w:sz w:val="16"/>
              </w:rPr>
              <w:t>2</w:t>
            </w:r>
          </w:p>
        </w:tc>
        <w:tc>
          <w:tcPr>
            <w:tcW w:type="dxa" w:w="1176"/>
          </w:tcPr>
          <w:p>
            <w:pPr>
              <w:jc w:val="center"/>
            </w:pPr>
            <w:r/>
            <w:r>
              <w:rPr>
                <w:sz w:val="16"/>
              </w:rPr>
              <w:t>—</w:t>
            </w:r>
          </w:p>
        </w:tc>
        <w:tc>
          <w:tcPr>
            <w:tcW w:type="dxa" w:w="1176"/>
          </w:tcPr>
          <w:p>
            <w:pPr>
              <w:jc w:val="center"/>
            </w:pPr>
            <w:r/>
            <w:r>
              <w:rPr>
                <w:sz w:val="16"/>
              </w:rPr>
              <w:t>GMP / PRP control</w:t>
            </w:r>
          </w:p>
        </w:tc>
      </w:tr>
      <w:tr>
        <w:tc>
          <w:tcPr>
            <w:tcW w:type="dxa" w:w="1176"/>
            <w:shd w:val="clear" w:color="auto" w:fill="EEF4FB"/>
          </w:tcPr>
          <w:p>
            <w:pPr>
              <w:jc w:val="left"/>
            </w:pPr>
            <w:r/>
            <w:r>
              <w:rPr>
                <w:sz w:val="16"/>
              </w:rPr>
              <w:t>8–9</w:t>
            </w:r>
          </w:p>
        </w:tc>
        <w:tc>
          <w:tcPr>
            <w:tcW w:type="dxa" w:w="1176"/>
            <w:shd w:val="clear" w:color="auto" w:fill="EEF4FB"/>
          </w:tcPr>
          <w:p>
            <w:pPr>
              <w:jc w:val="center"/>
            </w:pPr>
            <w:r/>
            <w:r>
              <w:rPr>
                <w:sz w:val="16"/>
              </w:rPr>
              <w:t>Phys</w:t>
            </w:r>
          </w:p>
        </w:tc>
        <w:tc>
          <w:tcPr>
            <w:tcW w:type="dxa" w:w="1176"/>
            <w:shd w:val="clear" w:color="auto" w:fill="EEF4FB"/>
          </w:tcPr>
          <w:p>
            <w:pPr>
              <w:jc w:val="center"/>
            </w:pPr>
            <w:r/>
            <w:r>
              <w:rPr>
                <w:sz w:val="16"/>
              </w:rPr>
              <w:t>Bag / bulk bag contamination (previous cargo)</w:t>
            </w:r>
          </w:p>
        </w:tc>
        <w:tc>
          <w:tcPr>
            <w:tcW w:type="dxa" w:w="1176"/>
            <w:shd w:val="clear" w:color="auto" w:fill="EEF4FB"/>
          </w:tcPr>
          <w:p>
            <w:pPr>
              <w:jc w:val="center"/>
            </w:pPr>
            <w:r/>
            <w:r>
              <w:rPr>
                <w:sz w:val="16"/>
              </w:rPr>
              <w:t>2</w:t>
            </w:r>
          </w:p>
        </w:tc>
        <w:tc>
          <w:tcPr>
            <w:tcW w:type="dxa" w:w="1176"/>
            <w:shd w:val="clear" w:color="auto" w:fill="EEF4FB"/>
          </w:tcPr>
          <w:p>
            <w:pPr>
              <w:jc w:val="center"/>
            </w:pPr>
            <w:r/>
            <w:r>
              <w:rPr>
                <w:sz w:val="16"/>
              </w:rPr>
              <w:t>2</w:t>
            </w:r>
          </w:p>
        </w:tc>
        <w:tc>
          <w:tcPr>
            <w:tcW w:type="dxa" w:w="1176"/>
            <w:shd w:val="clear" w:color="auto" w:fill="EEF4FB"/>
          </w:tcPr>
          <w:p>
            <w:pPr>
              <w:jc w:val="center"/>
            </w:pPr>
            <w:r/>
            <w:r>
              <w:rPr>
                <w:sz w:val="16"/>
              </w:rPr>
              <w:t>4</w:t>
            </w:r>
          </w:p>
        </w:tc>
        <w:tc>
          <w:tcPr>
            <w:tcW w:type="dxa" w:w="1176"/>
            <w:shd w:val="clear" w:color="auto" w:fill="EEF4FB"/>
          </w:tcPr>
          <w:p>
            <w:pPr>
              <w:jc w:val="center"/>
            </w:pPr>
            <w:r/>
            <w:r>
              <w:rPr>
                <w:sz w:val="16"/>
              </w:rPr>
              <w:t>—</w:t>
            </w:r>
          </w:p>
        </w:tc>
        <w:tc>
          <w:tcPr>
            <w:tcW w:type="dxa" w:w="1176"/>
            <w:shd w:val="clear" w:color="auto" w:fill="EEF4FB"/>
          </w:tcPr>
          <w:p>
            <w:pPr>
              <w:jc w:val="center"/>
            </w:pPr>
            <w:r/>
            <w:r>
              <w:rPr>
                <w:sz w:val="16"/>
              </w:rPr>
              <w:t>GMP / PRP control</w:t>
            </w:r>
          </w:p>
        </w:tc>
      </w:tr>
      <w:tr>
        <w:tc>
          <w:tcPr>
            <w:tcW w:type="dxa" w:w="1176"/>
          </w:tcPr>
          <w:p>
            <w:pPr>
              <w:jc w:val="left"/>
            </w:pPr>
            <w:r/>
            <w:r>
              <w:rPr>
                <w:sz w:val="16"/>
              </w:rPr>
              <w:t>9</w:t>
            </w:r>
          </w:p>
        </w:tc>
        <w:tc>
          <w:tcPr>
            <w:tcW w:type="dxa" w:w="1176"/>
          </w:tcPr>
          <w:p>
            <w:pPr>
              <w:jc w:val="center"/>
            </w:pPr>
            <w:r/>
            <w:r>
              <w:rPr>
                <w:sz w:val="16"/>
              </w:rPr>
              <w:t>Chem</w:t>
            </w:r>
          </w:p>
        </w:tc>
        <w:tc>
          <w:tcPr>
            <w:tcW w:type="dxa" w:w="1176"/>
          </w:tcPr>
          <w:p>
            <w:pPr>
              <w:jc w:val="center"/>
            </w:pPr>
            <w:r/>
            <w:r>
              <w:rPr>
                <w:sz w:val="16"/>
              </w:rPr>
              <w:t>Phosphine fumigant residue</w:t>
            </w:r>
          </w:p>
        </w:tc>
        <w:tc>
          <w:tcPr>
            <w:tcW w:type="dxa" w:w="1176"/>
          </w:tcPr>
          <w:p>
            <w:pPr>
              <w:jc w:val="center"/>
            </w:pPr>
            <w:r/>
            <w:r>
              <w:rPr>
                <w:sz w:val="16"/>
              </w:rPr>
              <w:t>2</w:t>
            </w:r>
          </w:p>
        </w:tc>
        <w:tc>
          <w:tcPr>
            <w:tcW w:type="dxa" w:w="1176"/>
          </w:tcPr>
          <w:p>
            <w:pPr>
              <w:jc w:val="center"/>
            </w:pPr>
            <w:r/>
            <w:r>
              <w:rPr>
                <w:sz w:val="16"/>
              </w:rPr>
              <w:t>3</w:t>
            </w:r>
          </w:p>
        </w:tc>
        <w:tc>
          <w:tcPr>
            <w:tcW w:type="dxa" w:w="1176"/>
          </w:tcPr>
          <w:p>
            <w:pPr>
              <w:jc w:val="center"/>
            </w:pPr>
            <w:r/>
            <w:r>
              <w:rPr>
                <w:sz w:val="16"/>
              </w:rPr>
              <w:t>6</w:t>
            </w:r>
          </w:p>
        </w:tc>
        <w:tc>
          <w:tcPr>
            <w:tcW w:type="dxa" w:w="1176"/>
          </w:tcPr>
          <w:p>
            <w:pPr>
              <w:jc w:val="center"/>
            </w:pPr>
            <w:r/>
            <w:r>
              <w:rPr>
                <w:sz w:val="16"/>
              </w:rPr>
              <w:t>CCP-4</w:t>
            </w:r>
          </w:p>
        </w:tc>
        <w:tc>
          <w:tcPr>
            <w:tcW w:type="dxa" w:w="1176"/>
          </w:tcPr>
          <w:p>
            <w:pPr>
              <w:jc w:val="center"/>
            </w:pPr>
            <w:r/>
            <w:r>
              <w:rPr>
                <w:sz w:val="16"/>
              </w:rPr>
              <w:t>See HACCP Control Chart</w:t>
            </w:r>
          </w:p>
        </w:tc>
      </w:tr>
    </w:tbl>
    <w:p/>
    <w:p>
      <w:pPr>
        <w:spacing w:before="200" w:after="60"/>
      </w:pPr>
      <w:r>
        <w:rPr>
          <w:b/>
          <w:color w:val="1F497D"/>
          <w:sz w:val="24"/>
        </w:rPr>
        <w:t>5. HACCP Control Chart — Monitoring and Corrective Action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45"/>
        <w:gridCol w:w="1045"/>
        <w:gridCol w:w="1045"/>
        <w:gridCol w:w="1045"/>
        <w:gridCol w:w="1045"/>
        <w:gridCol w:w="1045"/>
        <w:gridCol w:w="1045"/>
        <w:gridCol w:w="1045"/>
        <w:gridCol w:w="1045"/>
      </w:tblGrid>
      <w:tr>
        <w:tc>
          <w:tcPr>
            <w:tcW w:type="dxa" w:w="1045"/>
            <w:shd w:val="clear" w:color="auto" w:fill="1F497D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CCP #</w:t>
            </w:r>
          </w:p>
        </w:tc>
        <w:tc>
          <w:tcPr>
            <w:tcW w:type="dxa" w:w="1045"/>
            <w:shd w:val="clear" w:color="auto" w:fill="1F497D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Process Step</w:t>
            </w:r>
          </w:p>
        </w:tc>
        <w:tc>
          <w:tcPr>
            <w:tcW w:type="dxa" w:w="1045"/>
            <w:shd w:val="clear" w:color="auto" w:fill="1F497D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Significant Hazard</w:t>
            </w:r>
          </w:p>
        </w:tc>
        <w:tc>
          <w:tcPr>
            <w:tcW w:type="dxa" w:w="1045"/>
            <w:shd w:val="clear" w:color="auto" w:fill="1F497D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Control Measure</w:t>
            </w:r>
          </w:p>
        </w:tc>
        <w:tc>
          <w:tcPr>
            <w:tcW w:type="dxa" w:w="1045"/>
            <w:shd w:val="clear" w:color="auto" w:fill="1F497D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Critical Limit</w:t>
            </w:r>
          </w:p>
        </w:tc>
        <w:tc>
          <w:tcPr>
            <w:tcW w:type="dxa" w:w="1045"/>
            <w:shd w:val="clear" w:color="auto" w:fill="1F497D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Monitoring Procedure</w:t>
            </w:r>
          </w:p>
        </w:tc>
        <w:tc>
          <w:tcPr>
            <w:tcW w:type="dxa" w:w="1045"/>
            <w:shd w:val="clear" w:color="auto" w:fill="1F497D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Frequency</w:t>
            </w:r>
          </w:p>
        </w:tc>
        <w:tc>
          <w:tcPr>
            <w:tcW w:type="dxa" w:w="1045"/>
            <w:shd w:val="clear" w:color="auto" w:fill="1F497D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Corrective Action</w:t>
            </w:r>
          </w:p>
        </w:tc>
        <w:tc>
          <w:tcPr>
            <w:tcW w:type="dxa" w:w="1045"/>
            <w:shd w:val="clear" w:color="auto" w:fill="1F497D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Responsibility</w:t>
            </w:r>
          </w:p>
        </w:tc>
      </w:tr>
      <w:tr>
        <w:tc>
          <w:tcPr>
            <w:tcW w:type="dxa" w:w="1045"/>
          </w:tcPr>
          <w:p>
            <w:r>
              <w:rPr>
                <w:sz w:val="16"/>
              </w:rPr>
              <w:t>CCP-1</w:t>
            </w:r>
          </w:p>
        </w:tc>
        <w:tc>
          <w:tcPr>
            <w:tcW w:type="dxa" w:w="1045"/>
          </w:tcPr>
          <w:p>
            <w:r>
              <w:rPr>
                <w:sz w:val="16"/>
              </w:rPr>
              <w:t>Receival/Storage</w:t>
            </w:r>
          </w:p>
        </w:tc>
        <w:tc>
          <w:tcPr>
            <w:tcW w:type="dxa" w:w="1045"/>
          </w:tcPr>
          <w:p>
            <w:r>
              <w:rPr>
                <w:sz w:val="16"/>
              </w:rPr>
              <w:t>Mycotoxin</w:t>
            </w:r>
          </w:p>
        </w:tc>
        <w:tc>
          <w:tcPr>
            <w:tcW w:type="dxa" w:w="1045"/>
          </w:tcPr>
          <w:p>
            <w:r>
              <w:rPr>
                <w:sz w:val="16"/>
              </w:rPr>
              <w:t>Intake moisture test; aeration; temperature probe; lab test on export lots</w:t>
            </w:r>
          </w:p>
        </w:tc>
        <w:tc>
          <w:tcPr>
            <w:tcW w:type="dxa" w:w="1045"/>
          </w:tcPr>
          <w:p>
            <w:r>
              <w:rPr>
                <w:sz w:val="16"/>
              </w:rPr>
              <w:t>Aflatoxin ≤4 µg/kg; OA ≤3 µg/kg</w:t>
            </w:r>
          </w:p>
        </w:tc>
        <w:tc>
          <w:tcPr>
            <w:tcW w:type="dxa" w:w="1045"/>
          </w:tcPr>
          <w:p>
            <w:r>
              <w:rPr>
                <w:sz w:val="16"/>
              </w:rPr>
              <w:t>Moisture probe each lot; monthly temp probe; NATA test on flag lots</w:t>
            </w:r>
          </w:p>
        </w:tc>
        <w:tc>
          <w:tcPr>
            <w:tcW w:type="dxa" w:w="1045"/>
          </w:tcPr>
          <w:p>
            <w:r>
              <w:rPr>
                <w:sz w:val="16"/>
              </w:rPr>
              <w:t>Monthly; per export consignment</w:t>
            </w:r>
          </w:p>
        </w:tc>
        <w:tc>
          <w:tcPr>
            <w:tcW w:type="dxa" w:w="1045"/>
          </w:tcPr>
          <w:p>
            <w:r>
              <w:rPr>
                <w:sz w:val="16"/>
              </w:rPr>
              <w:t>Segregate; re-test; downgrade to feed if confirmed</w:t>
            </w:r>
          </w:p>
        </w:tc>
        <w:tc>
          <w:tcPr>
            <w:tcW w:type="dxa" w:w="1045"/>
          </w:tcPr>
          <w:p>
            <w:r>
              <w:rPr>
                <w:sz w:val="16"/>
              </w:rPr>
              <w:t>Operations Manager</w:t>
            </w:r>
          </w:p>
        </w:tc>
      </w:tr>
      <w:tr>
        <w:tc>
          <w:tcPr>
            <w:tcW w:type="dxa" w:w="1045"/>
            <w:shd w:val="clear" w:color="auto" w:fill="EEF4FB"/>
          </w:tcPr>
          <w:p>
            <w:r>
              <w:rPr>
                <w:sz w:val="16"/>
              </w:rPr>
              <w:t>CCP-2</w:t>
            </w:r>
          </w:p>
        </w:tc>
        <w:tc>
          <w:tcPr>
            <w:tcW w:type="dxa" w:w="1045"/>
            <w:shd w:val="clear" w:color="auto" w:fill="EEF4FB"/>
          </w:tcPr>
          <w:p>
            <w:r>
              <w:rPr>
                <w:sz w:val="16"/>
              </w:rPr>
              <w:t>Receival</w:t>
            </w:r>
          </w:p>
        </w:tc>
        <w:tc>
          <w:tcPr>
            <w:tcW w:type="dxa" w:w="1045"/>
            <w:shd w:val="clear" w:color="auto" w:fill="EEF4FB"/>
          </w:tcPr>
          <w:p>
            <w:r>
              <w:rPr>
                <w:sz w:val="16"/>
              </w:rPr>
              <w:t>Pesticide MRL</w:t>
            </w:r>
          </w:p>
        </w:tc>
        <w:tc>
          <w:tcPr>
            <w:tcW w:type="dxa" w:w="1045"/>
            <w:shd w:val="clear" w:color="auto" w:fill="EEF4FB"/>
          </w:tcPr>
          <w:p>
            <w:r>
              <w:rPr>
                <w:sz w:val="16"/>
              </w:rPr>
              <w:t>Spray diary review per grower; residue test on 5% of lots</w:t>
            </w:r>
          </w:p>
        </w:tc>
        <w:tc>
          <w:tcPr>
            <w:tcW w:type="dxa" w:w="1045"/>
            <w:shd w:val="clear" w:color="auto" w:fill="EEF4FB"/>
          </w:tcPr>
          <w:p>
            <w:r>
              <w:rPr>
                <w:sz w:val="16"/>
              </w:rPr>
              <w:t>MRL per India, Pakistan, Bangladesh (CODEX/strictest)</w:t>
            </w:r>
          </w:p>
        </w:tc>
        <w:tc>
          <w:tcPr>
            <w:tcW w:type="dxa" w:w="1045"/>
            <w:shd w:val="clear" w:color="auto" w:fill="EEF4FB"/>
          </w:tcPr>
          <w:p>
            <w:r>
              <w:rPr>
                <w:sz w:val="16"/>
              </w:rPr>
              <w:t>Spray records each grower; residue test flagged lots</w:t>
            </w:r>
          </w:p>
        </w:tc>
        <w:tc>
          <w:tcPr>
            <w:tcW w:type="dxa" w:w="1045"/>
            <w:shd w:val="clear" w:color="auto" w:fill="EEF4FB"/>
          </w:tcPr>
          <w:p>
            <w:r>
              <w:rPr>
                <w:sz w:val="16"/>
              </w:rPr>
              <w:t>Per grower/season</w:t>
            </w:r>
          </w:p>
        </w:tc>
        <w:tc>
          <w:tcPr>
            <w:tcW w:type="dxa" w:w="1045"/>
            <w:shd w:val="clear" w:color="auto" w:fill="EEF4FB"/>
          </w:tcPr>
          <w:p>
            <w:r>
              <w:rPr>
                <w:sz w:val="16"/>
              </w:rPr>
              <w:t>Quarantine; reject; notify grower; DAFF notification</w:t>
            </w:r>
          </w:p>
        </w:tc>
        <w:tc>
          <w:tcPr>
            <w:tcW w:type="dxa" w:w="1045"/>
            <w:shd w:val="clear" w:color="auto" w:fill="EEF4FB"/>
          </w:tcPr>
          <w:p>
            <w:r>
              <w:rPr>
                <w:sz w:val="16"/>
              </w:rPr>
              <w:t>Operations Manager</w:t>
            </w:r>
          </w:p>
        </w:tc>
      </w:tr>
      <w:tr>
        <w:tc>
          <w:tcPr>
            <w:tcW w:type="dxa" w:w="1045"/>
          </w:tcPr>
          <w:p>
            <w:r>
              <w:rPr>
                <w:sz w:val="16"/>
              </w:rPr>
              <w:t>CCP-3</w:t>
            </w:r>
          </w:p>
        </w:tc>
        <w:tc>
          <w:tcPr>
            <w:tcW w:type="dxa" w:w="1045"/>
          </w:tcPr>
          <w:p>
            <w:r>
              <w:rPr>
                <w:sz w:val="16"/>
              </w:rPr>
              <w:t>Pre-cleaning/Sizing</w:t>
            </w:r>
          </w:p>
        </w:tc>
        <w:tc>
          <w:tcPr>
            <w:tcW w:type="dxa" w:w="1045"/>
          </w:tcPr>
          <w:p>
            <w:r>
              <w:rPr>
                <w:sz w:val="16"/>
              </w:rPr>
              <w:t>Foreign material</w:t>
            </w:r>
          </w:p>
        </w:tc>
        <w:tc>
          <w:tcPr>
            <w:tcW w:type="dxa" w:w="1045"/>
          </w:tcPr>
          <w:p>
            <w:r>
              <w:rPr>
                <w:sz w:val="16"/>
              </w:rPr>
              <w:t>Pre-cleaner + gravity table + optical sorter + metal detector</w:t>
            </w:r>
          </w:p>
        </w:tc>
        <w:tc>
          <w:tcPr>
            <w:tcW w:type="dxa" w:w="1045"/>
          </w:tcPr>
          <w:p>
            <w:r>
              <w:rPr>
                <w:sz w:val="16"/>
              </w:rPr>
              <w:t>No metal &gt;2 mm; no stones; no glass</w:t>
            </w:r>
          </w:p>
        </w:tc>
        <w:tc>
          <w:tcPr>
            <w:tcW w:type="dxa" w:w="1045"/>
          </w:tcPr>
          <w:p>
            <w:r>
              <w:rPr>
                <w:sz w:val="16"/>
              </w:rPr>
              <w:t>Metal detector calibrated each shift; visual inspection each lot</w:t>
            </w:r>
          </w:p>
        </w:tc>
        <w:tc>
          <w:tcPr>
            <w:tcW w:type="dxa" w:w="1045"/>
          </w:tcPr>
          <w:p>
            <w:r>
              <w:rPr>
                <w:sz w:val="16"/>
              </w:rPr>
              <w:t>Each shift</w:t>
            </w:r>
          </w:p>
        </w:tc>
        <w:tc>
          <w:tcPr>
            <w:tcW w:type="dxa" w:w="1045"/>
          </w:tcPr>
          <w:p>
            <w:r>
              <w:rPr>
                <w:sz w:val="16"/>
              </w:rPr>
              <w:t>Stop line; remove contaminant; inspect; re-run</w:t>
            </w:r>
          </w:p>
        </w:tc>
        <w:tc>
          <w:tcPr>
            <w:tcW w:type="dxa" w:w="1045"/>
          </w:tcPr>
          <w:p>
            <w:r>
              <w:rPr>
                <w:sz w:val="16"/>
              </w:rPr>
              <w:t>Operations Manager</w:t>
            </w:r>
          </w:p>
        </w:tc>
      </w:tr>
      <w:tr>
        <w:tc>
          <w:tcPr>
            <w:tcW w:type="dxa" w:w="1045"/>
            <w:shd w:val="clear" w:color="auto" w:fill="EEF4FB"/>
          </w:tcPr>
          <w:p>
            <w:r>
              <w:rPr>
                <w:sz w:val="16"/>
              </w:rPr>
              <w:t>CCP-4</w:t>
            </w:r>
          </w:p>
        </w:tc>
        <w:tc>
          <w:tcPr>
            <w:tcW w:type="dxa" w:w="1045"/>
            <w:shd w:val="clear" w:color="auto" w:fill="EEF4FB"/>
          </w:tcPr>
          <w:p>
            <w:r>
              <w:rPr>
                <w:sz w:val="16"/>
              </w:rPr>
              <w:t>Fumigation</w:t>
            </w:r>
          </w:p>
        </w:tc>
        <w:tc>
          <w:tcPr>
            <w:tcW w:type="dxa" w:w="1045"/>
            <w:shd w:val="clear" w:color="auto" w:fill="EEF4FB"/>
          </w:tcPr>
          <w:p>
            <w:r>
              <w:rPr>
                <w:sz w:val="16"/>
              </w:rPr>
              <w:t>Phosphine residue</w:t>
            </w:r>
          </w:p>
        </w:tc>
        <w:tc>
          <w:tcPr>
            <w:tcW w:type="dxa" w:w="1045"/>
            <w:shd w:val="clear" w:color="auto" w:fill="EEF4FB"/>
          </w:tcPr>
          <w:p>
            <w:r>
              <w:rPr>
                <w:sz w:val="16"/>
              </w:rPr>
              <w:t>Licensed fumigator; ventilation protocol; residue test</w:t>
            </w:r>
          </w:p>
        </w:tc>
        <w:tc>
          <w:tcPr>
            <w:tcW w:type="dxa" w:w="1045"/>
            <w:shd w:val="clear" w:color="auto" w:fill="EEF4FB"/>
          </w:tcPr>
          <w:p>
            <w:r>
              <w:rPr>
                <w:sz w:val="16"/>
              </w:rPr>
              <w:t>≤0.01 mg/kg at load-out</w:t>
            </w:r>
          </w:p>
        </w:tc>
        <w:tc>
          <w:tcPr>
            <w:tcW w:type="dxa" w:w="1045"/>
            <w:shd w:val="clear" w:color="auto" w:fill="EEF4FB"/>
          </w:tcPr>
          <w:p>
            <w:r>
              <w:rPr>
                <w:sz w:val="16"/>
              </w:rPr>
              <w:t>Licensed fumigator certificate; vent period checklist</w:t>
            </w:r>
          </w:p>
        </w:tc>
        <w:tc>
          <w:tcPr>
            <w:tcW w:type="dxa" w:w="1045"/>
            <w:shd w:val="clear" w:color="auto" w:fill="EEF4FB"/>
          </w:tcPr>
          <w:p>
            <w:r>
              <w:rPr>
                <w:sz w:val="16"/>
              </w:rPr>
              <w:t>Each fumigation event</w:t>
            </w:r>
          </w:p>
        </w:tc>
        <w:tc>
          <w:tcPr>
            <w:tcW w:type="dxa" w:w="1045"/>
            <w:shd w:val="clear" w:color="auto" w:fill="EEF4FB"/>
          </w:tcPr>
          <w:p>
            <w:r>
              <w:rPr>
                <w:sz w:val="16"/>
              </w:rPr>
              <w:t>Extend vent; re-test; do not load until cleared</w:t>
            </w:r>
          </w:p>
        </w:tc>
        <w:tc>
          <w:tcPr>
            <w:tcW w:type="dxa" w:w="1045"/>
            <w:shd w:val="clear" w:color="auto" w:fill="EEF4FB"/>
          </w:tcPr>
          <w:p>
            <w:r>
              <w:rPr>
                <w:sz w:val="16"/>
              </w:rPr>
              <w:t>Operations Manager</w:t>
            </w:r>
          </w:p>
        </w:tc>
      </w:tr>
    </w:tbl>
    <w:p/>
    <w:p>
      <w:pPr>
        <w:spacing w:before="200" w:after="60"/>
      </w:pPr>
      <w:r>
        <w:rPr>
          <w:b/>
          <w:color w:val="1F497D"/>
          <w:sz w:val="24"/>
        </w:rPr>
        <w:t>6. Hygiene and Waste Controls (Checking Point 3.1)</w:t>
      </w:r>
    </w:p>
    <w:p>
      <w:pPr>
        <w:spacing w:after="60"/>
      </w:pPr>
      <w:r>
        <w:rPr>
          <w:sz w:val="20"/>
        </w:rPr>
        <w:t>Hygiene and Sanitation Program (DDPE-HSP-001):</w:t>
        <w:br/>
        <w:t>• Pre-season: full clean-down of receival pit, conveyors, pre-cleaner, gravity table, colour sorter and packing lines.</w:t>
        <w:br/>
        <w:t>• During season: colour sorter air nozzles cleaned daily; packing tables sanitised between shifts.</w:t>
        <w:br/>
        <w:t>• Personnel: handwash on entry; no food in processing area; dust masks and gloves provided.</w:t>
        <w:br/>
        <w:t>• Records: Cleaning Register (DDPE-CLN-01) signed after each event.</w:t>
      </w:r>
    </w:p>
    <w:p>
      <w:pPr>
        <w:spacing w:after="60"/>
      </w:pPr>
      <w:r>
        <w:rPr>
          <w:sz w:val="20"/>
        </w:rPr>
        <w:t>Waste Management Procedure (DDPE-WMP-001):</w:t>
        <w:br/>
        <w:t>• Pre-cleaner trash / weed seeds: collected in sealed bins; removed to composting weekly.</w:t>
        <w:br/>
        <w:t>• Dust: cyclone collector emptied weekly; disposed to composting.</w:t>
        <w:br/>
        <w:t>• Reject bags: damaged or misprinted bags recycled through approved contractor.</w:t>
        <w:br/>
        <w:t>• Chemical waste: fumigant containers disposed per APVMA label; manifest maintained.</w:t>
      </w:r>
    </w:p>
    <w:p>
      <w:pPr>
        <w:spacing w:before="200" w:after="60"/>
      </w:pPr>
      <w:r>
        <w:rPr>
          <w:b/>
          <w:color w:val="1F497D"/>
          <w:sz w:val="24"/>
        </w:rPr>
        <w:t>7. Pest Control (Checking Point 3.2)</w:t>
      </w:r>
    </w:p>
    <w:p>
      <w:pPr>
        <w:spacing w:after="60"/>
      </w:pPr>
      <w:r>
        <w:rPr>
          <w:color w:val="9C0006"/>
          <w:sz w:val="20"/>
        </w:rPr>
        <w:t>[DEFICIENCY — NOT DOCUMENTED]</w:t>
        <w:br/>
        <w:t>No formal pest control program is documented for Southridge Crops Pty Ltd. No bait station map, monitoring schedule, contractor engagement or corrective action procedures are included.</w:t>
      </w:r>
    </w:p>
    <w:p>
      <w:pPr>
        <w:spacing w:before="200" w:after="60"/>
      </w:pPr>
      <w:r>
        <w:rPr>
          <w:b/>
          <w:color w:val="1F497D"/>
          <w:sz w:val="24"/>
        </w:rPr>
        <w:t>8. Traceability and Integrity (Checking Point 4.1)</w:t>
      </w:r>
    </w:p>
    <w:p>
      <w:pPr>
        <w:spacing w:after="60"/>
      </w:pPr>
      <w:r>
        <w:rPr>
          <w:sz w:val="20"/>
        </w:rPr>
        <w:t>[DEFICIENCY — NOT DOCUMENTED]</w:t>
        <w:br/>
        <w:t>This HACCP plan does not include a documented traceability system linking receival, processing, packing and dispatch.</w:t>
        <w:br/>
        <w:br/>
        <w:t>Specifically absent:</w:t>
        <w:br/>
        <w:t>• No lot coding system for receival batches.</w:t>
        <w:br/>
        <w:t>• No documented one-step-back / one-step-forward traceability procedure.</w:t>
        <w:br/>
        <w:t>• No dispatch register linking packed bags to container and destination.</w:t>
        <w:br/>
        <w:t>• No recall procedure or trace exercise schedule.</w:t>
        <w:br/>
        <w:br/>
        <w:t>ACTION REQUIRED: Implement a Traceability System covering:</w:t>
        <w:br/>
        <w:t>(a) Unique lot codes at receival; (b) Processing batch records; (c) Packing lot codes on bags;</w:t>
        <w:br/>
        <w:t>(d) Dispatch register; (e) Annual trace exercise; (f) Recall activation protocol; (g) Record retention minimum 2 years.</w:t>
      </w:r>
    </w:p>
    <w:p>
      <w:pPr>
        <w:spacing w:before="200" w:after="60"/>
      </w:pPr>
      <w:r>
        <w:rPr>
          <w:b/>
          <w:color w:val="1F497D"/>
          <w:sz w:val="24"/>
        </w:rPr>
        <w:t>9. Product Flow Chart and Failed Goods (Checking Point 4.1)</w:t>
      </w:r>
    </w:p>
    <w:p>
      <w:pPr>
        <w:spacing w:after="60"/>
      </w:pPr>
      <w:r>
        <w:rPr>
          <w:sz w:val="20"/>
        </w:rPr>
        <w:t>Product flow chart: see Section 3 Process Flow Diagram.</w:t>
      </w:r>
    </w:p>
    <w:p>
      <w:pPr>
        <w:spacing w:after="60"/>
      </w:pPr>
      <w:r>
        <w:rPr>
          <w:sz w:val="20"/>
        </w:rPr>
        <w:t>Failed Goods Procedure (DDPE-FGP-001):</w:t>
        <w:br/>
        <w:t>• Mycotoxin exceedance: lot placed on HOLD; re-test; if confirmed — downgrade to feed or destroy.</w:t>
        <w:br/>
        <w:t>• Pesticide MRL failure: quarantine; reject export; notify grower; DAFF notified.</w:t>
        <w:br/>
        <w:t>• Foreign material detection: stop line; remove contaminant; inspect batch; re-run.</w:t>
        <w:br/>
        <w:t>• Non-conformance records maintained in DDPE-NCR register.</w:t>
      </w:r>
    </w:p>
    <w:p>
      <w:pPr>
        <w:spacing w:before="200" w:after="60"/>
      </w:pPr>
      <w:r>
        <w:rPr>
          <w:b/>
          <w:color w:val="1F497D"/>
          <w:sz w:val="24"/>
        </w:rPr>
        <w:t>10. Phytosanitary Security / Contamination Risk (Checking Point 4.2)</w:t>
      </w:r>
    </w:p>
    <w:p>
      <w:pPr>
        <w:spacing w:after="60"/>
      </w:pPr>
      <w:r>
        <w:rPr>
          <w:sz w:val="20"/>
        </w:rPr>
        <w:t>Phytosanitary Security (DDPE-PSP-001):</w:t>
        <w:br/>
        <w:t>• Export-cleared bags stored in sealed shed; access restricted.</w:t>
        <w:br/>
        <w:t>• Fumigation certificate linked to dispatch docket.</w:t>
        <w:br/>
        <w:t>• Container inspection before loading; seal number recorded.</w:t>
        <w:br/>
        <w:t>• DAFF phytosanitary certificate issued per consignment.</w:t>
      </w:r>
    </w:p>
    <w:p>
      <w:pPr>
        <w:spacing w:before="200" w:after="60"/>
      </w:pPr>
      <w:r>
        <w:rPr>
          <w:b/>
          <w:color w:val="1F497D"/>
          <w:sz w:val="24"/>
        </w:rPr>
        <w:t>11. Verification and Record Keeping</w:t>
      </w:r>
    </w:p>
    <w:p>
      <w:pPr>
        <w:pStyle w:val="ListBullet"/>
        <w:spacing w:after="40"/>
      </w:pPr>
      <w:r>
        <w:rPr>
          <w:sz w:val="20"/>
        </w:rPr>
        <w:t>Internal audit of HACCP plan: annual, by HACCP team lead.</w:t>
      </w:r>
    </w:p>
    <w:p>
      <w:pPr>
        <w:pStyle w:val="ListBullet"/>
        <w:spacing w:after="40"/>
      </w:pPr>
      <w:r>
        <w:rPr>
          <w:sz w:val="20"/>
        </w:rPr>
        <w:t>External audit: DAFF registered establishment audit (periodic).</w:t>
      </w:r>
    </w:p>
    <w:p>
      <w:pPr>
        <w:pStyle w:val="ListBullet"/>
        <w:spacing w:after="40"/>
      </w:pPr>
      <w:r>
        <w:rPr>
          <w:sz w:val="20"/>
        </w:rPr>
        <w:t>CCP monitoring records retained minimum 2 years.</w:t>
      </w:r>
    </w:p>
    <w:p>
      <w:pPr>
        <w:pStyle w:val="ListBullet"/>
        <w:spacing w:after="40"/>
      </w:pPr>
      <w:r>
        <w:rPr>
          <w:sz w:val="20"/>
        </w:rPr>
        <w:t>HACCP plan reviewed following: product change, process change, new hazard identified, customer complaint, DAFF non-conformance.</w:t>
      </w:r>
    </w:p>
    <w:p>
      <w:pPr>
        <w:spacing w:before="200" w:after="60"/>
      </w:pPr>
      <w:r>
        <w:rPr>
          <w:b/>
          <w:color w:val="1F497D"/>
          <w:sz w:val="24"/>
        </w:rPr>
        <w:t>12. Approval and Review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val="clear" w:color="auto" w:fill="1F497D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Version</w:t>
            </w:r>
          </w:p>
        </w:tc>
        <w:tc>
          <w:tcPr>
            <w:tcW w:type="dxa" w:w="2351"/>
            <w:shd w:val="clear" w:color="auto" w:fill="1F497D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Date</w:t>
            </w:r>
          </w:p>
        </w:tc>
        <w:tc>
          <w:tcPr>
            <w:tcW w:type="dxa" w:w="2351"/>
            <w:shd w:val="clear" w:color="auto" w:fill="1F497D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Author</w:t>
            </w:r>
          </w:p>
        </w:tc>
        <w:tc>
          <w:tcPr>
            <w:tcW w:type="dxa" w:w="2351"/>
            <w:shd w:val="clear" w:color="auto" w:fill="1F497D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Changes</w:t>
            </w:r>
          </w:p>
        </w:tc>
      </w:tr>
      <w:tr>
        <w:tc>
          <w:tcPr>
            <w:tcW w:type="dxa" w:w="2351"/>
          </w:tcPr>
          <w:p/>
        </w:tc>
        <w:tc>
          <w:tcPr>
            <w:tcW w:type="dxa" w:w="2351"/>
          </w:tcPr>
          <w:p/>
        </w:tc>
        <w:tc>
          <w:tcPr>
            <w:tcW w:type="dxa" w:w="2351"/>
          </w:tcPr>
          <w:p/>
        </w:tc>
        <w:tc>
          <w:tcPr>
            <w:tcW w:type="dxa" w:w="2351"/>
          </w:tcPr>
          <w:p/>
        </w:tc>
      </w:tr>
      <w:tr>
        <w:tc>
          <w:tcPr>
            <w:tcW w:type="dxa" w:w="2351"/>
          </w:tcPr>
          <w:p>
            <w:pPr>
              <w:jc w:val="left"/>
            </w:pPr>
            <w:r/>
            <w:r>
              <w:rPr>
                <w:sz w:val="16"/>
              </w:rPr>
              <w:t>4.7</w:t>
            </w:r>
          </w:p>
        </w:tc>
        <w:tc>
          <w:tcPr>
            <w:tcW w:type="dxa" w:w="2351"/>
          </w:tcPr>
          <w:p>
            <w:pPr>
              <w:jc w:val="center"/>
            </w:pPr>
            <w:r/>
            <w:r>
              <w:rPr>
                <w:sz w:val="16"/>
              </w:rPr>
              <w:t>April 2024</w:t>
            </w:r>
          </w:p>
        </w:tc>
        <w:tc>
          <w:tcPr>
            <w:tcW w:type="dxa" w:w="2351"/>
          </w:tcPr>
          <w:p>
            <w:pPr>
              <w:jc w:val="center"/>
            </w:pPr>
            <w:r/>
            <w:r>
              <w:rPr>
                <w:sz w:val="16"/>
              </w:rPr>
              <w:t>Manager 8 (Quality Lead)</w:t>
            </w:r>
          </w:p>
        </w:tc>
        <w:tc>
          <w:tcPr>
            <w:tcW w:type="dxa" w:w="2351"/>
          </w:tcPr>
          <w:p>
            <w:pPr>
              <w:jc w:val="center"/>
            </w:pPr>
            <w:r/>
            <w:r>
              <w:rPr>
                <w:sz w:val="16"/>
              </w:rPr>
              <w:t>Current approved version — see document history</w:t>
            </w:r>
          </w:p>
        </w:tc>
      </w:tr>
    </w:tbl>
    <w:p/>
    <w:p>
      <w:pPr>
        <w:spacing w:after="60"/>
      </w:pPr>
      <w:r>
        <w:rPr>
          <w:sz w:val="20"/>
        </w:rPr>
        <w:t>Approved by:  Manager 8 (Quality Lead)  |  Title: HACCP Lead  |  Date: April 2024</w:t>
      </w:r>
    </w:p>
    <w:p>
      <w:pPr>
        <w:spacing w:after="60"/>
      </w:pPr>
      <w:r>
        <w:rPr>
          <w:sz w:val="20"/>
        </w:rPr>
        <w:t>Signature:  ________________________________</w:t>
      </w:r>
    </w:p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