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Corrigin Grain</w:t>
            </w:r>
          </w:p>
        </w:tc>
      </w:tr>
      <w:tr>
        <w:tc>
          <w:tcPr>
            <w:tcW w:type="dxa" w:w="3118"/>
            <w:shd w:val="clear" w:color="auto" w:fill="DCE6F1"/>
            <w:vAlign w:val="center"/>
          </w:tcPr>
          <w:p>
            <w:r>
              <w:rPr>
                <w:b/>
                <w:sz w:val="18"/>
              </w:rPr>
              <w:t>RE Number</w:t>
            </w:r>
          </w:p>
        </w:tc>
        <w:tc>
          <w:tcPr>
            <w:tcW w:type="dxa" w:w="6236"/>
            <w:vAlign w:val="center"/>
          </w:tcPr>
          <w:p>
            <w:r>
              <w:rPr>
                <w:sz w:val="18"/>
              </w:rPr>
              <w:t>RE-WA-2020-0177</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14 Corrigin-Narembeen Road, Corrigin WA 6375</w:t>
            </w:r>
          </w:p>
        </w:tc>
      </w:tr>
      <w:tr>
        <w:tc>
          <w:tcPr>
            <w:tcW w:type="dxa" w:w="3118"/>
            <w:shd w:val="clear" w:color="auto" w:fill="DCE6F1"/>
            <w:vAlign w:val="center"/>
          </w:tcPr>
          <w:p>
            <w:r>
              <w:rPr>
                <w:b/>
                <w:sz w:val="18"/>
              </w:rPr>
              <w:t>Registered Commodity</w:t>
            </w:r>
          </w:p>
        </w:tc>
        <w:tc>
          <w:tcPr>
            <w:tcW w:type="dxa" w:w="6236"/>
            <w:vAlign w:val="center"/>
          </w:tcPr>
          <w:p>
            <w:r>
              <w:rPr>
                <w:sz w:val="18"/>
              </w:rPr>
              <w:t>Almonds</w:t>
            </w:r>
          </w:p>
        </w:tc>
      </w:tr>
      <w:tr>
        <w:tc>
          <w:tcPr>
            <w:tcW w:type="dxa" w:w="3118"/>
            <w:shd w:val="clear" w:color="auto" w:fill="DCE6F1"/>
            <w:vAlign w:val="center"/>
          </w:tcPr>
          <w:p>
            <w:r>
              <w:rPr>
                <w:b/>
                <w:sz w:val="18"/>
              </w:rPr>
              <w:t>Responsible Officer</w:t>
            </w:r>
          </w:p>
        </w:tc>
        <w:tc>
          <w:tcPr>
            <w:tcW w:type="dxa" w:w="6236"/>
            <w:vAlign w:val="center"/>
          </w:tcPr>
          <w:p>
            <w:r>
              <w:rPr>
                <w:sz w:val="18"/>
              </w:rPr>
              <w:t>Belinda Sato</w:t>
            </w:r>
          </w:p>
        </w:tc>
      </w:tr>
      <w:tr>
        <w:tc>
          <w:tcPr>
            <w:tcW w:type="dxa" w:w="3118"/>
            <w:shd w:val="clear" w:color="auto" w:fill="DCE6F1"/>
            <w:vAlign w:val="center"/>
          </w:tcPr>
          <w:p>
            <w:r>
              <w:rPr>
                <w:b/>
                <w:sz w:val="18"/>
              </w:rPr>
              <w:t>Property Area</w:t>
            </w:r>
          </w:p>
        </w:tc>
        <w:tc>
          <w:tcPr>
            <w:tcW w:type="dxa" w:w="6236"/>
            <w:vAlign w:val="center"/>
          </w:tcPr>
          <w:p>
            <w:r>
              <w:rPr>
                <w:sz w:val="18"/>
              </w:rPr>
              <w:t>430.0 ha</w:t>
            </w:r>
          </w:p>
        </w:tc>
      </w:tr>
      <w:tr>
        <w:tc>
          <w:tcPr>
            <w:tcW w:type="dxa" w:w="3118"/>
            <w:shd w:val="clear" w:color="auto" w:fill="DCE6F1"/>
            <w:vAlign w:val="center"/>
          </w:tcPr>
          <w:p>
            <w:r>
              <w:rPr>
                <w:b/>
                <w:sz w:val="18"/>
              </w:rPr>
              <w:t>Year Established</w:t>
            </w:r>
          </w:p>
        </w:tc>
        <w:tc>
          <w:tcPr>
            <w:tcW w:type="dxa" w:w="6236"/>
            <w:vAlign w:val="center"/>
          </w:tcPr>
          <w:p>
            <w:r>
              <w:rPr>
                <w:sz w:val="18"/>
              </w:rPr>
              <w:t>2017</w:t>
            </w:r>
          </w:p>
        </w:tc>
      </w:tr>
      <w:tr>
        <w:tc>
          <w:tcPr>
            <w:tcW w:type="dxa" w:w="3118"/>
            <w:shd w:val="clear" w:color="auto" w:fill="DCE6F1"/>
            <w:vAlign w:val="center"/>
          </w:tcPr>
          <w:p>
            <w:r>
              <w:rPr>
                <w:b/>
                <w:sz w:val="18"/>
              </w:rPr>
              <w:t>Document Version</w:t>
            </w:r>
          </w:p>
        </w:tc>
        <w:tc>
          <w:tcPr>
            <w:tcW w:type="dxa" w:w="6236"/>
            <w:vAlign w:val="center"/>
          </w:tcPr>
          <w:p>
            <w:r>
              <w:rPr>
                <w:sz w:val="18"/>
              </w:rPr>
              <w:t>2.0</w:t>
            </w:r>
          </w:p>
        </w:tc>
      </w:tr>
      <w:tr>
        <w:tc>
          <w:tcPr>
            <w:tcW w:type="dxa" w:w="3118"/>
            <w:shd w:val="clear" w:color="auto" w:fill="DCE6F1"/>
            <w:vAlign w:val="center"/>
          </w:tcPr>
          <w:p>
            <w:r>
              <w:rPr>
                <w:b/>
                <w:sz w:val="18"/>
              </w:rPr>
              <w:t>Plan Date</w:t>
            </w:r>
          </w:p>
        </w:tc>
        <w:tc>
          <w:tcPr>
            <w:tcW w:type="dxa" w:w="6236"/>
            <w:vAlign w:val="center"/>
          </w:tcPr>
          <w:p>
            <w:r>
              <w:rPr>
                <w:sz w:val="18"/>
              </w:rPr>
              <w:t>9 April 2024</w:t>
            </w:r>
          </w:p>
        </w:tc>
      </w:tr>
      <w:tr>
        <w:tc>
          <w:tcPr>
            <w:tcW w:type="dxa" w:w="3118"/>
            <w:shd w:val="clear" w:color="auto" w:fill="DCE6F1"/>
            <w:vAlign w:val="center"/>
          </w:tcPr>
          <w:p>
            <w:r>
              <w:rPr>
                <w:b/>
                <w:sz w:val="18"/>
              </w:rPr>
              <w:t>Next Review</w:t>
            </w:r>
          </w:p>
        </w:tc>
        <w:tc>
          <w:tcPr>
            <w:tcW w:type="dxa" w:w="6236"/>
            <w:vAlign w:val="center"/>
          </w:tcPr>
          <w:p>
            <w:r>
              <w:rPr>
                <w:sz w:val="18"/>
              </w:rPr>
              <w:t>9 April 2026</w:t>
            </w:r>
          </w:p>
        </w:tc>
      </w:tr>
    </w:tbl>
    <w:p/>
    <w:p>
      <w:pPr>
        <w:pStyle w:val="Heading1"/>
      </w:pPr>
      <w:r>
        <w:rPr>
          <w:color w:val="1F497D"/>
        </w:rPr>
        <w:t>1.  OVERVIEW</w:t>
      </w:r>
    </w:p>
    <w:p>
      <w:r>
        <w:rPr>
          <w:b w:val="0"/>
          <w:i w:val="0"/>
          <w:sz w:val="20"/>
        </w:rPr>
        <w:t>Corrigin Grain is a registered export establishment located at Lot 14 Corrigin-Narembeen Road, Corrigin WA 6375, WA. The establishment holds RE Number RE-WA-2020-0177 and is registered to handle and export Almonds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Nut Processing Hall</w:t>
            </w:r>
          </w:p>
        </w:tc>
        <w:tc>
          <w:tcPr>
            <w:tcW w:type="dxa" w:w="1587"/>
            <w:shd w:val="clear" w:color="auto" w:fill="FFFFFF"/>
            <w:vAlign w:val="center"/>
          </w:tcPr>
          <w:p>
            <w:r>
              <w:rPr>
                <w:sz w:val="18"/>
              </w:rPr>
              <w:t>32×20 m</w:t>
            </w:r>
          </w:p>
        </w:tc>
        <w:tc>
          <w:tcPr>
            <w:tcW w:type="dxa" w:w="1984"/>
            <w:shd w:val="clear" w:color="auto" w:fill="FFFFFF"/>
            <w:vAlign w:val="center"/>
          </w:tcPr>
          <w:p>
            <w:r>
              <w:rPr>
                <w:sz w:val="18"/>
              </w:rPr>
              <w:t>Steel portal, smooth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HS</w:t>
            </w:r>
          </w:p>
        </w:tc>
        <w:tc>
          <w:tcPr>
            <w:tcW w:type="dxa" w:w="3118"/>
            <w:shd w:val="clear" w:color="auto" w:fill="F2F2F2"/>
            <w:vAlign w:val="center"/>
          </w:tcPr>
          <w:p>
            <w:r>
              <w:rPr>
                <w:sz w:val="18"/>
              </w:rPr>
              <w:t>Hulling/Shelling Shed</w:t>
            </w:r>
          </w:p>
        </w:tc>
        <w:tc>
          <w:tcPr>
            <w:tcW w:type="dxa" w:w="1587"/>
            <w:shd w:val="clear" w:color="auto" w:fill="F2F2F2"/>
            <w:vAlign w:val="center"/>
          </w:tcPr>
          <w:p>
            <w:r>
              <w:rPr>
                <w:sz w:val="18"/>
              </w:rPr>
              <w:t>28×18 m</w:t>
            </w:r>
          </w:p>
        </w:tc>
        <w:tc>
          <w:tcPr>
            <w:tcW w:type="dxa" w:w="1984"/>
            <w:shd w:val="clear" w:color="auto" w:fill="F2F2F2"/>
            <w:vAlign w:val="center"/>
          </w:tcPr>
          <w:p>
            <w:r>
              <w:rPr>
                <w:sz w:val="18"/>
              </w:rPr>
              <w:t>Steel, concrete floor</w:t>
            </w:r>
          </w:p>
        </w:tc>
        <w:tc>
          <w:tcPr>
            <w:tcW w:type="dxa" w:w="2381"/>
            <w:shd w:val="clear" w:color="auto" w:fill="F2F2F2"/>
            <w:vAlign w:val="center"/>
          </w:tcPr>
          <w:p>
            <w:r>
              <w:rPr>
                <w:sz w:val="18"/>
              </w:rPr>
              <w:t>North of PH</w:t>
            </w:r>
          </w:p>
        </w:tc>
      </w:tr>
      <w:tr>
        <w:tc>
          <w:tcPr>
            <w:tcW w:type="dxa" w:w="850"/>
            <w:shd w:val="clear" w:color="auto" w:fill="FFFFFF"/>
            <w:vAlign w:val="center"/>
          </w:tcPr>
          <w:p>
            <w:r>
              <w:rPr>
                <w:sz w:val="18"/>
              </w:rPr>
              <w:t>CS</w:t>
            </w:r>
          </w:p>
        </w:tc>
        <w:tc>
          <w:tcPr>
            <w:tcW w:type="dxa" w:w="3118"/>
            <w:shd w:val="clear" w:color="auto" w:fill="FFFFFF"/>
            <w:vAlign w:val="center"/>
          </w:tcPr>
          <w:p>
            <w:r>
              <w:rPr>
                <w:sz w:val="18"/>
              </w:rPr>
              <w:t>Cold Store</w:t>
            </w:r>
          </w:p>
        </w:tc>
        <w:tc>
          <w:tcPr>
            <w:tcW w:type="dxa" w:w="1587"/>
            <w:shd w:val="clear" w:color="auto" w:fill="FFFFFF"/>
            <w:vAlign w:val="center"/>
          </w:tcPr>
          <w:p>
            <w:r>
              <w:rPr>
                <w:sz w:val="18"/>
              </w:rPr>
              <w:t>14×12 m</w:t>
            </w:r>
          </w:p>
        </w:tc>
        <w:tc>
          <w:tcPr>
            <w:tcW w:type="dxa" w:w="1984"/>
            <w:shd w:val="clear" w:color="auto" w:fill="FFFFFF"/>
            <w:vAlign w:val="center"/>
          </w:tcPr>
          <w:p>
            <w:r>
              <w:rPr>
                <w:sz w:val="18"/>
              </w:rPr>
              <w:t>Insulated panel, ammonia refrigeration</w:t>
            </w:r>
          </w:p>
        </w:tc>
        <w:tc>
          <w:tcPr>
            <w:tcW w:type="dxa" w:w="2381"/>
            <w:shd w:val="clear" w:color="auto" w:fill="FFFFFF"/>
            <w:vAlign w:val="center"/>
          </w:tcPr>
          <w:p>
            <w:r>
              <w:rPr>
                <w:sz w:val="18"/>
              </w:rPr>
              <w:t>East of PH</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w:t>
            </w:r>
          </w:p>
        </w:tc>
        <w:tc>
          <w:tcPr>
            <w:tcW w:type="dxa" w:w="2381"/>
            <w:shd w:val="clear" w:color="auto" w:fill="F2F2F2"/>
            <w:vAlign w:val="center"/>
          </w:tcPr>
          <w:p>
            <w:r>
              <w:rPr>
                <w:sz w:val="18"/>
              </w:rPr>
              <w:t>Adjacent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5×3 m</w:t>
            </w:r>
          </w:p>
        </w:tc>
        <w:tc>
          <w:tcPr>
            <w:tcW w:type="dxa" w:w="1984"/>
            <w:shd w:val="clear" w:color="auto" w:fill="FFFFFF"/>
            <w:vAlign w:val="center"/>
          </w:tcPr>
          <w:p>
            <w:r>
              <w:rPr>
                <w:sz w:val="18"/>
              </w:rPr>
              <w:t>Steel, bunded</w:t>
            </w:r>
          </w:p>
        </w:tc>
        <w:tc>
          <w:tcPr>
            <w:tcW w:type="dxa" w:w="2381"/>
            <w:shd w:val="clear" w:color="auto" w:fill="FFFFFF"/>
            <w:vAlign w:val="center"/>
          </w:tcPr>
          <w:p>
            <w:r>
              <w:rPr>
                <w:sz w:val="18"/>
              </w:rPr>
              <w:t>SE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5×4 m</w:t>
            </w:r>
          </w:p>
        </w:tc>
        <w:tc>
          <w:tcPr>
            <w:tcW w:type="dxa" w:w="1984"/>
            <w:shd w:val="clear" w:color="auto" w:fill="F2F2F2"/>
            <w:vAlign w:val="center"/>
          </w:tcPr>
          <w:p>
            <w:r>
              <w:rPr>
                <w:sz w:val="18"/>
              </w:rPr>
              <w:t>Enclosed room in PH</w:t>
            </w:r>
          </w:p>
        </w:tc>
        <w:tc>
          <w:tcPr>
            <w:tcW w:type="dxa" w:w="2381"/>
            <w:shd w:val="clear" w:color="auto" w:fill="F2F2F2"/>
            <w:vAlign w:val="center"/>
          </w:tcPr>
          <w:p>
            <w:r>
              <w:rPr>
                <w:sz w:val="18"/>
              </w:rPr>
              <w:t>PH east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Hulling and shelling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Primary processing</w:t>
            </w:r>
          </w:p>
        </w:tc>
      </w:tr>
      <w:tr>
        <w:tc>
          <w:tcPr>
            <w:tcW w:type="dxa" w:w="3685"/>
            <w:shd w:val="clear" w:color="auto" w:fill="F2F2F2"/>
            <w:vAlign w:val="center"/>
          </w:tcPr>
          <w:p>
            <w:r>
              <w:rPr>
                <w:sz w:val="18"/>
              </w:rPr>
              <w:t>Optical colour sorter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Quality grading</w:t>
            </w:r>
          </w:p>
        </w:tc>
      </w:tr>
      <w:tr>
        <w:tc>
          <w:tcPr>
            <w:tcW w:type="dxa" w:w="3685"/>
            <w:shd w:val="clear" w:color="auto" w:fill="FFFFFF"/>
            <w:vAlign w:val="center"/>
          </w:tcPr>
          <w:p>
            <w:r>
              <w:rPr>
                <w:sz w:val="18"/>
              </w:rPr>
              <w:t>Semi-automatic pack line</w:t>
            </w:r>
          </w:p>
        </w:tc>
        <w:tc>
          <w:tcPr>
            <w:tcW w:type="dxa" w:w="1984"/>
            <w:shd w:val="clear" w:color="auto" w:fill="FFFFFF"/>
            <w:vAlign w:val="center"/>
          </w:tcPr>
          <w:p>
            <w:r>
              <w:rPr>
                <w:sz w:val="18"/>
              </w:rPr>
              <w:t>2 lanes</w:t>
            </w:r>
          </w:p>
        </w:tc>
        <w:tc>
          <w:tcPr>
            <w:tcW w:type="dxa" w:w="4252"/>
            <w:shd w:val="clear" w:color="auto" w:fill="FFFFFF"/>
            <w:vAlign w:val="center"/>
          </w:tcPr>
          <w:p>
            <w:r>
              <w:rPr>
                <w:sz w:val="18"/>
              </w:rPr>
              <w:t>Consumer and bulk packing</w:t>
            </w:r>
          </w:p>
        </w:tc>
      </w:tr>
      <w:tr>
        <w:tc>
          <w:tcPr>
            <w:tcW w:type="dxa" w:w="3685"/>
            <w:shd w:val="clear" w:color="auto" w:fill="F2F2F2"/>
            <w:vAlign w:val="center"/>
          </w:tcPr>
          <w:p>
            <w:r>
              <w:rPr>
                <w:sz w:val="18"/>
              </w:rPr>
              <w:t>Metal detector</w:t>
            </w:r>
          </w:p>
        </w:tc>
        <w:tc>
          <w:tcPr>
            <w:tcW w:type="dxa" w:w="1984"/>
            <w:shd w:val="clear" w:color="auto" w:fill="F2F2F2"/>
            <w:vAlign w:val="center"/>
          </w:tcPr>
          <w:p>
            <w:r>
              <w:rPr>
                <w:sz w:val="18"/>
              </w:rPr>
              <w:t>CCP inline</w:t>
            </w:r>
          </w:p>
        </w:tc>
        <w:tc>
          <w:tcPr>
            <w:tcW w:type="dxa" w:w="4252"/>
            <w:shd w:val="clear" w:color="auto" w:fill="F2F2F2"/>
            <w:vAlign w:val="center"/>
          </w:tcPr>
          <w:p>
            <w:r>
              <w:rPr>
                <w:sz w:val="18"/>
              </w:rPr>
              <w:t>Export food safety</w:t>
            </w:r>
          </w:p>
        </w:tc>
      </w:tr>
      <w:tr>
        <w:tc>
          <w:tcPr>
            <w:tcW w:type="dxa" w:w="3685"/>
            <w:shd w:val="clear" w:color="auto" w:fill="FFFFFF"/>
            <w:vAlign w:val="center"/>
          </w:tcPr>
          <w:p>
            <w:r>
              <w:rPr>
                <w:sz w:val="18"/>
              </w:rPr>
              <w:t>Moisture/aflatoxin analyser</w:t>
            </w:r>
          </w:p>
        </w:tc>
        <w:tc>
          <w:tcPr>
            <w:tcW w:type="dxa" w:w="1984"/>
            <w:shd w:val="clear" w:color="auto" w:fill="FFFFFF"/>
            <w:vAlign w:val="center"/>
          </w:tcPr>
          <w:p>
            <w:r>
              <w:rPr>
                <w:sz w:val="18"/>
              </w:rPr>
              <w:t>In-line</w:t>
            </w:r>
          </w:p>
        </w:tc>
        <w:tc>
          <w:tcPr>
            <w:tcW w:type="dxa" w:w="4252"/>
            <w:shd w:val="clear" w:color="auto" w:fill="FFFFFF"/>
            <w:vAlign w:val="center"/>
          </w:tcPr>
          <w:p>
            <w:r>
              <w:rPr>
                <w:sz w:val="18"/>
              </w:rPr>
              <w:t>Quality and safety testing</w:t>
            </w:r>
          </w:p>
        </w:tc>
      </w:tr>
      <w:tr>
        <w:tc>
          <w:tcPr>
            <w:tcW w:type="dxa" w:w="3685"/>
            <w:shd w:val="clear" w:color="auto" w:fill="F2F2F2"/>
            <w:vAlign w:val="center"/>
          </w:tcPr>
          <w:p>
            <w:r>
              <w:rPr>
                <w:sz w:val="18"/>
              </w:rPr>
              <w:t>Pallet stretch wrapper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palletising</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Almonds.</w:t>
      </w:r>
    </w:p>
    <w:p>
      <w:pPr>
        <w:pStyle w:val="Heading2"/>
      </w:pPr>
      <w:r>
        <w:t>4.2  Lighting (C2)</w:t>
      </w:r>
    </w:p>
    <w:p>
      <w:r>
        <w:rPr>
          <w:b w:val="0"/>
          <w:i w:val="0"/>
          <w:sz w:val="20"/>
        </w:rPr>
        <w:t>High-efficiency LED battens throughout: 520 lux packing hall, 400 lux cool store entry, 380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1 toilet, 2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(WM-SOP-155, version 2.0,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Hull and shell waste</w:t>
            </w:r>
          </w:p>
        </w:tc>
        <w:tc>
          <w:tcPr>
            <w:tcW w:type="dxa" w:w="4252"/>
            <w:shd w:val="clear" w:color="auto" w:fill="FFFFFF"/>
            <w:vAlign w:val="center"/>
          </w:tcPr>
          <w:p>
            <w:r>
              <w:rPr>
                <w:sz w:val="18"/>
              </w:rPr>
              <w:t>Collection pit under processor → covered external stockpile</w:t>
            </w:r>
          </w:p>
        </w:tc>
        <w:tc>
          <w:tcPr>
            <w:tcW w:type="dxa" w:w="2835"/>
            <w:shd w:val="clear" w:color="auto" w:fill="FFFFFF"/>
            <w:vAlign w:val="center"/>
          </w:tcPr>
          <w:p>
            <w:r>
              <w:rPr>
                <w:sz w:val="18"/>
              </w:rPr>
              <w:t>Daily bobcat removal</w:t>
            </w:r>
          </w:p>
        </w:tc>
      </w:tr>
      <w:tr>
        <w:tc>
          <w:tcPr>
            <w:tcW w:type="dxa" w:w="2835"/>
            <w:shd w:val="clear" w:color="auto" w:fill="F2F2F2"/>
            <w:vAlign w:val="center"/>
          </w:tcPr>
          <w:p>
            <w:r>
              <w:rPr>
                <w:sz w:val="18"/>
              </w:rPr>
              <w:t>Nut dust and fines</w:t>
            </w:r>
          </w:p>
        </w:tc>
        <w:tc>
          <w:tcPr>
            <w:tcW w:type="dxa" w:w="4252"/>
            <w:shd w:val="clear" w:color="auto" w:fill="F2F2F2"/>
            <w:vAlign w:val="center"/>
          </w:tcPr>
          <w:p>
            <w:r>
              <w:rPr>
                <w:sz w:val="18"/>
              </w:rPr>
              <w:t>Bag filter on processing line</w:t>
            </w:r>
          </w:p>
        </w:tc>
        <w:tc>
          <w:tcPr>
            <w:tcW w:type="dxa" w:w="2835"/>
            <w:shd w:val="clear" w:color="auto" w:fill="F2F2F2"/>
            <w:vAlign w:val="center"/>
          </w:tcPr>
          <w:p>
            <w:r>
              <w:rPr>
                <w:sz w:val="18"/>
              </w:rPr>
              <w:t>Weekly bag change</w:t>
            </w:r>
          </w:p>
        </w:tc>
      </w:tr>
      <w:tr>
        <w:tc>
          <w:tcPr>
            <w:tcW w:type="dxa" w:w="2835"/>
            <w:shd w:val="clear" w:color="auto" w:fill="FFFFFF"/>
            <w:vAlign w:val="center"/>
          </w:tcPr>
          <w:p>
            <w:r>
              <w:rPr>
                <w:sz w:val="18"/>
              </w:rPr>
              <w:t>Washdown water</w:t>
            </w:r>
          </w:p>
        </w:tc>
        <w:tc>
          <w:tcPr>
            <w:tcW w:type="dxa" w:w="4252"/>
            <w:shd w:val="clear" w:color="auto" w:fill="FFFFFF"/>
            <w:vAlign w:val="center"/>
          </w:tcPr>
          <w:p>
            <w:r>
              <w:rPr>
                <w:sz w:val="18"/>
              </w:rPr>
              <w:t>Floor drains → sump</w:t>
            </w:r>
          </w:p>
        </w:tc>
        <w:tc>
          <w:tcPr>
            <w:tcW w:type="dxa" w:w="2835"/>
            <w:shd w:val="clear" w:color="auto" w:fill="FFFFFF"/>
            <w:vAlign w:val="center"/>
          </w:tcPr>
          <w:p>
            <w:r>
              <w:rPr>
                <w:sz w:val="18"/>
              </w:rPr>
              <w:t>Weekly pump-out</w:t>
            </w:r>
          </w:p>
        </w:tc>
      </w:tr>
      <w:tr>
        <w:tc>
          <w:tcPr>
            <w:tcW w:type="dxa" w:w="2835"/>
            <w:shd w:val="clear" w:color="auto" w:fill="F2F2F2"/>
            <w:vAlign w:val="center"/>
          </w:tcPr>
          <w:p>
            <w:r>
              <w:rPr>
                <w:sz w:val="18"/>
              </w:rPr>
              <w:t>Packaging waste</w:t>
            </w:r>
          </w:p>
        </w:tc>
        <w:tc>
          <w:tcPr>
            <w:tcW w:type="dxa" w:w="4252"/>
            <w:shd w:val="clear" w:color="auto" w:fill="F2F2F2"/>
            <w:vAlign w:val="center"/>
          </w:tcPr>
          <w:p>
            <w:r>
              <w:rPr>
                <w:sz w:val="18"/>
              </w:rPr>
              <w:t>Baler/compactor</w:t>
            </w:r>
          </w:p>
        </w:tc>
        <w:tc>
          <w:tcPr>
            <w:tcW w:type="dxa" w:w="2835"/>
            <w:shd w:val="clear" w:color="auto" w:fill="F2F2F2"/>
            <w:vAlign w:val="center"/>
          </w:tcPr>
          <w:p>
            <w:r>
              <w:rPr>
                <w:sz w:val="18"/>
              </w:rPr>
              <w:t>Fortnightly collection</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At the most recent internal inspection, almonds residue was observed accumulated along the wall base on the north and west walls — estimated total accumulation 0.5 tonnes. Floor around auger discharge points has a layer of compacted grain material and fine dust that has not been removed during routine sweeping. A full shed cleanout is scheduled for the end-of-season maintenance period.</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February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Western Power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self-supplied bore — 32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Septic system — licensed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Sheet flow to soakage trench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60 kVA generator — auto-start on grid failure</w:t>
            </w:r>
          </w:p>
        </w:tc>
      </w:tr>
    </w:tbl>
    <w:p/>
    <w:p>
      <w:pPr>
        <w:pStyle w:val="Heading1"/>
      </w:pPr>
      <w:r>
        <w:rPr>
          <w:color w:val="1F497D"/>
        </w:rPr>
        <w:t>9.  AUTHORISATION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Belinda Sato</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9 April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