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97D"/>
          <w:sz w:val="40"/>
        </w:rPr>
        <w:t>FARM MANAGEMENT PLAN</w:t>
      </w:r>
    </w:p>
    <w:p/>
    <w:p>
      <w:pPr>
        <w:jc w:val="center"/>
      </w:pPr>
      <w:r>
        <w:rPr>
          <w:i/>
          <w:sz w:val="20"/>
        </w:rPr>
        <w:t>Registered Establishment — Export Control (Plants and Plant Products) Rules 2021</w:t>
      </w:r>
    </w:p>
    <w:p/>
    <w:tbl>
      <w:tblPr>
        <w:tblStyle w:val="TableGrid"/>
        <w:tblW w:type="auto" w:w="0"/>
        <w:tblLook w:firstColumn="1" w:firstRow="1" w:lastColumn="0" w:lastRow="0" w:noHBand="0" w:noVBand="1" w:val="04A0"/>
      </w:tblPr>
      <w:tblGrid>
        <w:gridCol w:w="4536"/>
        <w:gridCol w:w="4536"/>
      </w:tblGrid>
      <w:tr>
        <w:tc>
          <w:tcPr>
            <w:tcW w:type="dxa" w:w="3118"/>
            <w:shd w:val="clear" w:color="auto" w:fill="DCE6F1"/>
            <w:vAlign w:val="center"/>
          </w:tcPr>
          <w:p>
            <w:r>
              <w:rPr>
                <w:b/>
                <w:sz w:val="18"/>
              </w:rPr>
              <w:t>Establishment Name</w:t>
            </w:r>
          </w:p>
        </w:tc>
        <w:tc>
          <w:tcPr>
            <w:tcW w:type="dxa" w:w="6236"/>
            <w:vAlign w:val="center"/>
          </w:tcPr>
          <w:p>
            <w:r>
              <w:rPr>
                <w:sz w:val="18"/>
              </w:rPr>
              <w:t>Wheatbelt Storage Co</w:t>
            </w:r>
          </w:p>
        </w:tc>
      </w:tr>
      <w:tr>
        <w:tc>
          <w:tcPr>
            <w:tcW w:type="dxa" w:w="3118"/>
            <w:shd w:val="clear" w:color="auto" w:fill="DCE6F1"/>
            <w:vAlign w:val="center"/>
          </w:tcPr>
          <w:p>
            <w:r>
              <w:rPr>
                <w:b/>
                <w:sz w:val="18"/>
              </w:rPr>
              <w:t>RE Number</w:t>
            </w:r>
          </w:p>
        </w:tc>
        <w:tc>
          <w:tcPr>
            <w:tcW w:type="dxa" w:w="6236"/>
            <w:vAlign w:val="center"/>
          </w:tcPr>
          <w:p>
            <w:r>
              <w:rPr>
                <w:sz w:val="18"/>
              </w:rPr>
              <w:t>RE-WA-2020-0188</w:t>
            </w:r>
          </w:p>
        </w:tc>
      </w:tr>
      <w:tr>
        <w:tc>
          <w:tcPr>
            <w:tcW w:type="dxa" w:w="3118"/>
            <w:shd w:val="clear" w:color="auto" w:fill="DCE6F1"/>
            <w:vAlign w:val="center"/>
          </w:tcPr>
          <w:p>
            <w:r>
              <w:rPr>
                <w:b/>
                <w:sz w:val="18"/>
              </w:rPr>
              <w:t>State / Territory</w:t>
            </w:r>
          </w:p>
        </w:tc>
        <w:tc>
          <w:tcPr>
            <w:tcW w:type="dxa" w:w="6236"/>
            <w:vAlign w:val="center"/>
          </w:tcPr>
          <w:p>
            <w:r>
              <w:rPr>
                <w:sz w:val="18"/>
              </w:rPr>
              <w:t>WA</w:t>
            </w:r>
          </w:p>
        </w:tc>
      </w:tr>
      <w:tr>
        <w:tc>
          <w:tcPr>
            <w:tcW w:type="dxa" w:w="3118"/>
            <w:shd w:val="clear" w:color="auto" w:fill="DCE6F1"/>
            <w:vAlign w:val="center"/>
          </w:tcPr>
          <w:p>
            <w:r>
              <w:rPr>
                <w:b/>
                <w:sz w:val="18"/>
              </w:rPr>
              <w:t>Property Address</w:t>
            </w:r>
          </w:p>
        </w:tc>
        <w:tc>
          <w:tcPr>
            <w:tcW w:type="dxa" w:w="6236"/>
            <w:vAlign w:val="center"/>
          </w:tcPr>
          <w:p>
            <w:r>
              <w:rPr>
                <w:sz w:val="18"/>
              </w:rPr>
              <w:t>Lot 12 Great Eastern Highway, Cunderdin WA 6407</w:t>
            </w:r>
          </w:p>
        </w:tc>
      </w:tr>
      <w:tr>
        <w:tc>
          <w:tcPr>
            <w:tcW w:type="dxa" w:w="3118"/>
            <w:shd w:val="clear" w:color="auto" w:fill="DCE6F1"/>
            <w:vAlign w:val="center"/>
          </w:tcPr>
          <w:p>
            <w:r>
              <w:rPr>
                <w:b/>
                <w:sz w:val="18"/>
              </w:rPr>
              <w:t>Registered Commodity</w:t>
            </w:r>
          </w:p>
        </w:tc>
        <w:tc>
          <w:tcPr>
            <w:tcW w:type="dxa" w:w="6236"/>
            <w:vAlign w:val="center"/>
          </w:tcPr>
          <w:p>
            <w:r>
              <w:rPr>
                <w:sz w:val="18"/>
              </w:rPr>
              <w:t>Barley</w:t>
            </w:r>
          </w:p>
        </w:tc>
      </w:tr>
      <w:tr>
        <w:tc>
          <w:tcPr>
            <w:tcW w:type="dxa" w:w="3118"/>
            <w:shd w:val="clear" w:color="auto" w:fill="DCE6F1"/>
            <w:vAlign w:val="center"/>
          </w:tcPr>
          <w:p>
            <w:r>
              <w:rPr>
                <w:b/>
                <w:sz w:val="18"/>
              </w:rPr>
              <w:t>Responsible Officer</w:t>
            </w:r>
          </w:p>
        </w:tc>
        <w:tc>
          <w:tcPr>
            <w:tcW w:type="dxa" w:w="6236"/>
            <w:vAlign w:val="center"/>
          </w:tcPr>
          <w:p>
            <w:r>
              <w:rPr>
                <w:sz w:val="18"/>
              </w:rPr>
              <w:t>Don Trestrail</w:t>
            </w:r>
          </w:p>
        </w:tc>
      </w:tr>
      <w:tr>
        <w:tc>
          <w:tcPr>
            <w:tcW w:type="dxa" w:w="3118"/>
            <w:shd w:val="clear" w:color="auto" w:fill="DCE6F1"/>
            <w:vAlign w:val="center"/>
          </w:tcPr>
          <w:p>
            <w:r>
              <w:rPr>
                <w:b/>
                <w:sz w:val="18"/>
              </w:rPr>
              <w:t>Property Area</w:t>
            </w:r>
          </w:p>
        </w:tc>
        <w:tc>
          <w:tcPr>
            <w:tcW w:type="dxa" w:w="6236"/>
            <w:vAlign w:val="center"/>
          </w:tcPr>
          <w:p>
            <w:r>
              <w:rPr>
                <w:sz w:val="18"/>
              </w:rPr>
              <w:t>520.0 ha</w:t>
            </w:r>
          </w:p>
        </w:tc>
      </w:tr>
      <w:tr>
        <w:tc>
          <w:tcPr>
            <w:tcW w:type="dxa" w:w="3118"/>
            <w:shd w:val="clear" w:color="auto" w:fill="DCE6F1"/>
            <w:vAlign w:val="center"/>
          </w:tcPr>
          <w:p>
            <w:r>
              <w:rPr>
                <w:b/>
                <w:sz w:val="18"/>
              </w:rPr>
              <w:t>Year Established</w:t>
            </w:r>
          </w:p>
        </w:tc>
        <w:tc>
          <w:tcPr>
            <w:tcW w:type="dxa" w:w="6236"/>
            <w:vAlign w:val="center"/>
          </w:tcPr>
          <w:p>
            <w:r>
              <w:rPr>
                <w:sz w:val="18"/>
              </w:rPr>
              <w:t>2019</w:t>
            </w:r>
          </w:p>
        </w:tc>
      </w:tr>
      <w:tr>
        <w:tc>
          <w:tcPr>
            <w:tcW w:type="dxa" w:w="3118"/>
            <w:shd w:val="clear" w:color="auto" w:fill="DCE6F1"/>
            <w:vAlign w:val="center"/>
          </w:tcPr>
          <w:p>
            <w:r>
              <w:rPr>
                <w:b/>
                <w:sz w:val="18"/>
              </w:rPr>
              <w:t>Document Version</w:t>
            </w:r>
          </w:p>
        </w:tc>
        <w:tc>
          <w:tcPr>
            <w:tcW w:type="dxa" w:w="6236"/>
            <w:vAlign w:val="center"/>
          </w:tcPr>
          <w:p>
            <w:r>
              <w:rPr>
                <w:sz w:val="18"/>
              </w:rPr>
              <w:t>2.4</w:t>
            </w:r>
          </w:p>
        </w:tc>
      </w:tr>
      <w:tr>
        <w:tc>
          <w:tcPr>
            <w:tcW w:type="dxa" w:w="3118"/>
            <w:shd w:val="clear" w:color="auto" w:fill="DCE6F1"/>
            <w:vAlign w:val="center"/>
          </w:tcPr>
          <w:p>
            <w:r>
              <w:rPr>
                <w:b/>
                <w:sz w:val="18"/>
              </w:rPr>
              <w:t>Plan Date</w:t>
            </w:r>
          </w:p>
        </w:tc>
        <w:tc>
          <w:tcPr>
            <w:tcW w:type="dxa" w:w="6236"/>
            <w:vAlign w:val="center"/>
          </w:tcPr>
          <w:p>
            <w:r>
              <w:rPr>
                <w:sz w:val="18"/>
              </w:rPr>
              <w:t>17 April 2024</w:t>
            </w:r>
          </w:p>
        </w:tc>
      </w:tr>
      <w:tr>
        <w:tc>
          <w:tcPr>
            <w:tcW w:type="dxa" w:w="3118"/>
            <w:shd w:val="clear" w:color="auto" w:fill="DCE6F1"/>
            <w:vAlign w:val="center"/>
          </w:tcPr>
          <w:p>
            <w:r>
              <w:rPr>
                <w:b/>
                <w:sz w:val="18"/>
              </w:rPr>
              <w:t>Next Review</w:t>
            </w:r>
          </w:p>
        </w:tc>
        <w:tc>
          <w:tcPr>
            <w:tcW w:type="dxa" w:w="6236"/>
            <w:vAlign w:val="center"/>
          </w:tcPr>
          <w:p>
            <w:r>
              <w:rPr>
                <w:sz w:val="18"/>
              </w:rPr>
              <w:t>17 April 2026</w:t>
            </w:r>
          </w:p>
        </w:tc>
      </w:tr>
    </w:tbl>
    <w:p/>
    <w:p>
      <w:pPr>
        <w:pStyle w:val="Heading1"/>
      </w:pPr>
      <w:r>
        <w:rPr>
          <w:color w:val="1F497D"/>
        </w:rPr>
        <w:t>1.  OVERVIEW</w:t>
      </w:r>
    </w:p>
    <w:p>
      <w:r>
        <w:rPr>
          <w:b w:val="0"/>
          <w:i w:val="0"/>
          <w:sz w:val="20"/>
        </w:rPr>
        <w:t>Wheatbelt Storage Co is a registered export establishment located at Lot 12 Great Eastern Highway, Cunderdin WA 6407, WA. The establishment holds RE Number RE-WA-2020-0188 and is registered to handle and export Barley under the Export Control (Plants and Plant Products) Rules 2021. This Farm Management Plan documents the physical infrastructure, equipment, facilities, design standards, waste management arrangements and establishment condition relevant to compliance with Chapter 4 of the Rules and the DAFF Performance Standards IMLS-12-3742.</w:t>
      </w:r>
    </w:p>
    <w:p/>
    <w:p>
      <w:pPr>
        <w:pStyle w:val="Heading1"/>
      </w:pPr>
      <w:r>
        <w:rPr>
          <w:color w:val="1F497D"/>
        </w:rPr>
        <w:t>2.  BUILDINGS AND INFRASTRUCTURE</w:t>
      </w:r>
    </w:p>
    <w:p>
      <w:r>
        <w:rPr>
          <w:i/>
          <w:color w:val="555555"/>
          <w:sz w:val="18"/>
        </w:rPr>
        <w:t>Rules s4-2 — buildings, equipment, facilities and services required for export operations</w:t>
      </w:r>
    </w:p>
    <w:tbl>
      <w:tblPr>
        <w:tblStyle w:val="TableGrid"/>
        <w:tblW w:type="auto" w:w="0"/>
        <w:jc w:val="left"/>
        <w:tblLook w:firstColumn="1" w:firstRow="1" w:lastColumn="0" w:lastRow="0" w:noHBand="0" w:noVBand="1" w:val="04A0"/>
      </w:tblPr>
      <w:tblGrid>
        <w:gridCol w:w="1814"/>
        <w:gridCol w:w="1814"/>
        <w:gridCol w:w="1814"/>
        <w:gridCol w:w="1814"/>
        <w:gridCol w:w="1814"/>
      </w:tblGrid>
      <w:tr>
        <w:tc>
          <w:tcPr>
            <w:tcW w:type="dxa" w:w="850"/>
            <w:shd w:val="clear" w:color="auto" w:fill="1F497D"/>
            <w:vAlign w:val="center"/>
          </w:tcPr>
          <w:p>
            <w:r>
              <w:rPr>
                <w:b/>
                <w:color w:val="FFFFFF"/>
                <w:sz w:val="18"/>
              </w:rPr>
              <w:t>Code</w:t>
            </w:r>
          </w:p>
        </w:tc>
        <w:tc>
          <w:tcPr>
            <w:tcW w:type="dxa" w:w="3118"/>
            <w:shd w:val="clear" w:color="auto" w:fill="1F497D"/>
            <w:vAlign w:val="center"/>
          </w:tcPr>
          <w:p>
            <w:r>
              <w:rPr>
                <w:b/>
                <w:color w:val="FFFFFF"/>
                <w:sz w:val="18"/>
              </w:rPr>
              <w:t>Building / Structure</w:t>
            </w:r>
          </w:p>
        </w:tc>
        <w:tc>
          <w:tcPr>
            <w:tcW w:type="dxa" w:w="1587"/>
            <w:shd w:val="clear" w:color="auto" w:fill="1F497D"/>
            <w:vAlign w:val="center"/>
          </w:tcPr>
          <w:p>
            <w:r>
              <w:rPr>
                <w:b/>
                <w:color w:val="FFFFFF"/>
                <w:sz w:val="18"/>
              </w:rPr>
              <w:t>Dimensions</w:t>
            </w:r>
          </w:p>
        </w:tc>
        <w:tc>
          <w:tcPr>
            <w:tcW w:type="dxa" w:w="1984"/>
            <w:shd w:val="clear" w:color="auto" w:fill="1F497D"/>
            <w:vAlign w:val="center"/>
          </w:tcPr>
          <w:p>
            <w:r>
              <w:rPr>
                <w:b/>
                <w:color w:val="FFFFFF"/>
                <w:sz w:val="18"/>
              </w:rPr>
              <w:t>Construction</w:t>
            </w:r>
          </w:p>
        </w:tc>
        <w:tc>
          <w:tcPr>
            <w:tcW w:type="dxa" w:w="2381"/>
            <w:shd w:val="clear" w:color="auto" w:fill="1F497D"/>
            <w:vAlign w:val="center"/>
          </w:tcPr>
          <w:p>
            <w:r>
              <w:rPr>
                <w:b/>
                <w:color w:val="FFFFFF"/>
                <w:sz w:val="18"/>
              </w:rPr>
              <w:t>Location</w:t>
            </w:r>
          </w:p>
        </w:tc>
      </w:tr>
      <w:tr>
        <w:tc>
          <w:tcPr>
            <w:tcW w:type="dxa" w:w="850"/>
            <w:shd w:val="clear" w:color="auto" w:fill="FFFFFF"/>
            <w:vAlign w:val="center"/>
          </w:tcPr>
          <w:p>
            <w:r>
              <w:rPr>
                <w:sz w:val="18"/>
              </w:rPr>
              <w:t>WB</w:t>
            </w:r>
          </w:p>
        </w:tc>
        <w:tc>
          <w:tcPr>
            <w:tcW w:type="dxa" w:w="3118"/>
            <w:shd w:val="clear" w:color="auto" w:fill="FFFFFF"/>
            <w:vAlign w:val="center"/>
          </w:tcPr>
          <w:p>
            <w:r>
              <w:rPr>
                <w:sz w:val="18"/>
              </w:rPr>
              <w:t>Weighbridge + Control Room</w:t>
            </w:r>
          </w:p>
        </w:tc>
        <w:tc>
          <w:tcPr>
            <w:tcW w:type="dxa" w:w="1587"/>
            <w:shd w:val="clear" w:color="auto" w:fill="FFFFFF"/>
            <w:vAlign w:val="center"/>
          </w:tcPr>
          <w:p>
            <w:r>
              <w:rPr>
                <w:sz w:val="18"/>
              </w:rPr>
              <w:t>12×6 m</w:t>
            </w:r>
          </w:p>
        </w:tc>
        <w:tc>
          <w:tcPr>
            <w:tcW w:type="dxa" w:w="1984"/>
            <w:shd w:val="clear" w:color="auto" w:fill="FFFFFF"/>
            <w:vAlign w:val="center"/>
          </w:tcPr>
          <w:p>
            <w:r>
              <w:rPr>
                <w:sz w:val="18"/>
              </w:rPr>
              <w:t>Steel portal, concrete pit</w:t>
            </w:r>
          </w:p>
        </w:tc>
        <w:tc>
          <w:tcPr>
            <w:tcW w:type="dxa" w:w="2381"/>
            <w:shd w:val="clear" w:color="auto" w:fill="FFFFFF"/>
            <w:vAlign w:val="center"/>
          </w:tcPr>
          <w:p>
            <w:r>
              <w:rPr>
                <w:sz w:val="18"/>
              </w:rPr>
              <w:t>North entry — road access</w:t>
            </w:r>
          </w:p>
        </w:tc>
      </w:tr>
      <w:tr>
        <w:tc>
          <w:tcPr>
            <w:tcW w:type="dxa" w:w="850"/>
            <w:shd w:val="clear" w:color="auto" w:fill="F2F2F2"/>
            <w:vAlign w:val="center"/>
          </w:tcPr>
          <w:p>
            <w:r>
              <w:rPr>
                <w:sz w:val="18"/>
              </w:rPr>
              <w:t>RB</w:t>
            </w:r>
          </w:p>
        </w:tc>
        <w:tc>
          <w:tcPr>
            <w:tcW w:type="dxa" w:w="3118"/>
            <w:shd w:val="clear" w:color="auto" w:fill="F2F2F2"/>
            <w:vAlign w:val="center"/>
          </w:tcPr>
          <w:p>
            <w:r>
              <w:rPr>
                <w:sz w:val="18"/>
              </w:rPr>
              <w:t>Receival Building</w:t>
            </w:r>
          </w:p>
        </w:tc>
        <w:tc>
          <w:tcPr>
            <w:tcW w:type="dxa" w:w="1587"/>
            <w:shd w:val="clear" w:color="auto" w:fill="F2F2F2"/>
            <w:vAlign w:val="center"/>
          </w:tcPr>
          <w:p>
            <w:r>
              <w:rPr>
                <w:sz w:val="18"/>
              </w:rPr>
              <w:t>22×18 m</w:t>
            </w:r>
          </w:p>
        </w:tc>
        <w:tc>
          <w:tcPr>
            <w:tcW w:type="dxa" w:w="1984"/>
            <w:shd w:val="clear" w:color="auto" w:fill="F2F2F2"/>
            <w:vAlign w:val="center"/>
          </w:tcPr>
          <w:p>
            <w:r>
              <w:rPr>
                <w:sz w:val="18"/>
              </w:rPr>
              <w:t>Steel portal, smooth concrete floor</w:t>
            </w:r>
          </w:p>
        </w:tc>
        <w:tc>
          <w:tcPr>
            <w:tcW w:type="dxa" w:w="2381"/>
            <w:shd w:val="clear" w:color="auto" w:fill="F2F2F2"/>
            <w:vAlign w:val="center"/>
          </w:tcPr>
          <w:p>
            <w:r>
              <w:rPr>
                <w:sz w:val="18"/>
              </w:rPr>
              <w:t>Centre-north of site</w:t>
            </w:r>
          </w:p>
        </w:tc>
      </w:tr>
      <w:tr>
        <w:tc>
          <w:tcPr>
            <w:tcW w:type="dxa" w:w="850"/>
            <w:shd w:val="clear" w:color="auto" w:fill="FFFFFF"/>
            <w:vAlign w:val="center"/>
          </w:tcPr>
          <w:p>
            <w:r>
              <w:rPr>
                <w:sz w:val="18"/>
              </w:rPr>
              <w:t>S1–S4</w:t>
            </w:r>
          </w:p>
        </w:tc>
        <w:tc>
          <w:tcPr>
            <w:tcW w:type="dxa" w:w="3118"/>
            <w:shd w:val="clear" w:color="auto" w:fill="FFFFFF"/>
            <w:vAlign w:val="center"/>
          </w:tcPr>
          <w:p>
            <w:r>
              <w:rPr>
                <w:sz w:val="18"/>
              </w:rPr>
              <w:t>Storage Silos ×4 (1,800 t ea)</w:t>
            </w:r>
          </w:p>
        </w:tc>
        <w:tc>
          <w:tcPr>
            <w:tcW w:type="dxa" w:w="1587"/>
            <w:shd w:val="clear" w:color="auto" w:fill="FFFFFF"/>
            <w:vAlign w:val="center"/>
          </w:tcPr>
          <w:p>
            <w:r>
              <w:rPr>
                <w:sz w:val="18"/>
              </w:rPr>
              <w:t>Dia. 10 m</w:t>
            </w:r>
          </w:p>
        </w:tc>
        <w:tc>
          <w:tcPr>
            <w:tcW w:type="dxa" w:w="1984"/>
            <w:shd w:val="clear" w:color="auto" w:fill="FFFFFF"/>
            <w:vAlign w:val="center"/>
          </w:tcPr>
          <w:p>
            <w:r>
              <w:rPr>
                <w:sz w:val="18"/>
              </w:rPr>
              <w:t>Galvanised steel on concrete ring beams</w:t>
            </w:r>
          </w:p>
        </w:tc>
        <w:tc>
          <w:tcPr>
            <w:tcW w:type="dxa" w:w="2381"/>
            <w:shd w:val="clear" w:color="auto" w:fill="FFFFFF"/>
            <w:vAlign w:val="center"/>
          </w:tcPr>
          <w:p>
            <w:r>
              <w:rPr>
                <w:sz w:val="18"/>
              </w:rPr>
              <w:t>Central cluster</w:t>
            </w:r>
          </w:p>
        </w:tc>
      </w:tr>
      <w:tr>
        <w:tc>
          <w:tcPr>
            <w:tcW w:type="dxa" w:w="850"/>
            <w:shd w:val="clear" w:color="auto" w:fill="F2F2F2"/>
            <w:vAlign w:val="center"/>
          </w:tcPr>
          <w:p>
            <w:r>
              <w:rPr>
                <w:sz w:val="18"/>
              </w:rPr>
              <w:t>PL</w:t>
            </w:r>
          </w:p>
        </w:tc>
        <w:tc>
          <w:tcPr>
            <w:tcW w:type="dxa" w:w="3118"/>
            <w:shd w:val="clear" w:color="auto" w:fill="F2F2F2"/>
            <w:vAlign w:val="center"/>
          </w:tcPr>
          <w:p>
            <w:r>
              <w:rPr>
                <w:sz w:val="18"/>
              </w:rPr>
              <w:t>Packing &amp; Load-Out Shed</w:t>
            </w:r>
          </w:p>
        </w:tc>
        <w:tc>
          <w:tcPr>
            <w:tcW w:type="dxa" w:w="1587"/>
            <w:shd w:val="clear" w:color="auto" w:fill="F2F2F2"/>
            <w:vAlign w:val="center"/>
          </w:tcPr>
          <w:p>
            <w:r>
              <w:rPr>
                <w:sz w:val="18"/>
              </w:rPr>
              <w:t>20×18 m</w:t>
            </w:r>
          </w:p>
        </w:tc>
        <w:tc>
          <w:tcPr>
            <w:tcW w:type="dxa" w:w="1984"/>
            <w:shd w:val="clear" w:color="auto" w:fill="F2F2F2"/>
            <w:vAlign w:val="center"/>
          </w:tcPr>
          <w:p>
            <w:r>
              <w:rPr>
                <w:sz w:val="18"/>
              </w:rPr>
              <w:t>Tilt-up concrete panels</w:t>
            </w:r>
          </w:p>
        </w:tc>
        <w:tc>
          <w:tcPr>
            <w:tcW w:type="dxa" w:w="2381"/>
            <w:shd w:val="clear" w:color="auto" w:fill="F2F2F2"/>
            <w:vAlign w:val="center"/>
          </w:tcPr>
          <w:p>
            <w:r>
              <w:rPr>
                <w:sz w:val="18"/>
              </w:rPr>
              <w:t>South end of site</w:t>
            </w:r>
          </w:p>
        </w:tc>
      </w:tr>
      <w:tr>
        <w:tc>
          <w:tcPr>
            <w:tcW w:type="dxa" w:w="850"/>
            <w:shd w:val="clear" w:color="auto" w:fill="FFFFFF"/>
            <w:vAlign w:val="center"/>
          </w:tcPr>
          <w:p>
            <w:r>
              <w:rPr>
                <w:sz w:val="18"/>
              </w:rPr>
              <w:t>AM</w:t>
            </w:r>
          </w:p>
        </w:tc>
        <w:tc>
          <w:tcPr>
            <w:tcW w:type="dxa" w:w="3118"/>
            <w:shd w:val="clear" w:color="auto" w:fill="FFFFFF"/>
            <w:vAlign w:val="center"/>
          </w:tcPr>
          <w:p>
            <w:r>
              <w:rPr>
                <w:sz w:val="18"/>
              </w:rPr>
              <w:t>Amenities Block</w:t>
            </w:r>
          </w:p>
        </w:tc>
        <w:tc>
          <w:tcPr>
            <w:tcW w:type="dxa" w:w="1587"/>
            <w:shd w:val="clear" w:color="auto" w:fill="FFFFFF"/>
            <w:vAlign w:val="center"/>
          </w:tcPr>
          <w:p>
            <w:r>
              <w:rPr>
                <w:sz w:val="18"/>
              </w:rPr>
              <w:t>8×5 m</w:t>
            </w:r>
          </w:p>
        </w:tc>
        <w:tc>
          <w:tcPr>
            <w:tcW w:type="dxa" w:w="1984"/>
            <w:shd w:val="clear" w:color="auto" w:fill="FFFFFF"/>
            <w:vAlign w:val="center"/>
          </w:tcPr>
          <w:p>
            <w:r>
              <w:rPr>
                <w:sz w:val="18"/>
              </w:rPr>
              <w:t>Brick, self-contained</w:t>
            </w:r>
          </w:p>
        </w:tc>
        <w:tc>
          <w:tcPr>
            <w:tcW w:type="dxa" w:w="2381"/>
            <w:shd w:val="clear" w:color="auto" w:fill="FFFFFF"/>
            <w:vAlign w:val="center"/>
          </w:tcPr>
          <w:p>
            <w:r>
              <w:rPr>
                <w:sz w:val="18"/>
              </w:rPr>
              <w:t>Adjacent to RB</w:t>
            </w:r>
          </w:p>
        </w:tc>
      </w:tr>
      <w:tr>
        <w:tc>
          <w:tcPr>
            <w:tcW w:type="dxa" w:w="850"/>
            <w:shd w:val="clear" w:color="auto" w:fill="F2F2F2"/>
            <w:vAlign w:val="center"/>
          </w:tcPr>
          <w:p>
            <w:r>
              <w:rPr>
                <w:sz w:val="18"/>
              </w:rPr>
              <w:t>CS</w:t>
            </w:r>
          </w:p>
        </w:tc>
        <w:tc>
          <w:tcPr>
            <w:tcW w:type="dxa" w:w="3118"/>
            <w:shd w:val="clear" w:color="auto" w:fill="F2F2F2"/>
            <w:vAlign w:val="center"/>
          </w:tcPr>
          <w:p>
            <w:r>
              <w:rPr>
                <w:sz w:val="18"/>
              </w:rPr>
              <w:t>Chemical &amp; Lubricant Store</w:t>
            </w:r>
          </w:p>
        </w:tc>
        <w:tc>
          <w:tcPr>
            <w:tcW w:type="dxa" w:w="1587"/>
            <w:shd w:val="clear" w:color="auto" w:fill="F2F2F2"/>
            <w:vAlign w:val="center"/>
          </w:tcPr>
          <w:p>
            <w:r>
              <w:rPr>
                <w:sz w:val="18"/>
              </w:rPr>
              <w:t>6×4 m</w:t>
            </w:r>
          </w:p>
        </w:tc>
        <w:tc>
          <w:tcPr>
            <w:tcW w:type="dxa" w:w="1984"/>
            <w:shd w:val="clear" w:color="auto" w:fill="F2F2F2"/>
            <w:vAlign w:val="center"/>
          </w:tcPr>
          <w:p>
            <w:r>
              <w:rPr>
                <w:sz w:val="18"/>
              </w:rPr>
              <w:t>Steel, bunded slab</w:t>
            </w:r>
          </w:p>
        </w:tc>
        <w:tc>
          <w:tcPr>
            <w:tcW w:type="dxa" w:w="2381"/>
            <w:shd w:val="clear" w:color="auto" w:fill="F2F2F2"/>
            <w:vAlign w:val="center"/>
          </w:tcPr>
          <w:p>
            <w:r>
              <w:rPr>
                <w:sz w:val="18"/>
              </w:rPr>
              <w:t>15 m from PL</w:t>
            </w:r>
          </w:p>
        </w:tc>
      </w:tr>
      <w:tr>
        <w:tc>
          <w:tcPr>
            <w:tcW w:type="dxa" w:w="850"/>
            <w:shd w:val="clear" w:color="auto" w:fill="FFFFFF"/>
            <w:vAlign w:val="center"/>
          </w:tcPr>
          <w:p>
            <w:r>
              <w:rPr>
                <w:sz w:val="18"/>
              </w:rPr>
              <w:t>IB</w:t>
            </w:r>
          </w:p>
        </w:tc>
        <w:tc>
          <w:tcPr>
            <w:tcW w:type="dxa" w:w="3118"/>
            <w:shd w:val="clear" w:color="auto" w:fill="FFFFFF"/>
            <w:vAlign w:val="center"/>
          </w:tcPr>
          <w:p>
            <w:r>
              <w:rPr>
                <w:sz w:val="18"/>
              </w:rPr>
              <w:t>DAFF Inspection Room</w:t>
            </w:r>
          </w:p>
        </w:tc>
        <w:tc>
          <w:tcPr>
            <w:tcW w:type="dxa" w:w="1587"/>
            <w:shd w:val="clear" w:color="auto" w:fill="FFFFFF"/>
            <w:vAlign w:val="center"/>
          </w:tcPr>
          <w:p>
            <w:r>
              <w:rPr>
                <w:sz w:val="18"/>
              </w:rPr>
              <w:t>6×5 m</w:t>
            </w:r>
          </w:p>
        </w:tc>
        <w:tc>
          <w:tcPr>
            <w:tcW w:type="dxa" w:w="1984"/>
            <w:shd w:val="clear" w:color="auto" w:fill="FFFFFF"/>
            <w:vAlign w:val="center"/>
          </w:tcPr>
          <w:p>
            <w:r>
              <w:rPr>
                <w:sz w:val="18"/>
              </w:rPr>
              <w:t>Enclosed steel room</w:t>
            </w:r>
          </w:p>
        </w:tc>
        <w:tc>
          <w:tcPr>
            <w:tcW w:type="dxa" w:w="2381"/>
            <w:shd w:val="clear" w:color="auto" w:fill="FFFFFF"/>
            <w:vAlign w:val="center"/>
          </w:tcPr>
          <w:p>
            <w:r>
              <w:rPr>
                <w:sz w:val="18"/>
              </w:rPr>
              <w:t>Between RB and PL</w:t>
            </w:r>
          </w:p>
        </w:tc>
      </w:tr>
    </w:tbl>
    <w:p/>
    <w:p>
      <w:pPr>
        <w:pStyle w:val="Heading1"/>
      </w:pPr>
      <w:r>
        <w:rPr>
          <w:color w:val="1F497D"/>
        </w:rPr>
        <w:t>3.  EQUIPMENT AND MACHINERY</w:t>
      </w:r>
    </w:p>
    <w:p>
      <w:r>
        <w:rPr>
          <w:i/>
          <w:color w:val="555555"/>
          <w:sz w:val="18"/>
        </w:rPr>
        <w:t>Rules s4-2(4) — equipment adequate for the type of export operations conducted</w:t>
      </w:r>
    </w:p>
    <w:tbl>
      <w:tblPr>
        <w:tblStyle w:val="TableGrid"/>
        <w:tblW w:type="auto" w:w="0"/>
        <w:jc w:val="left"/>
        <w:tblLook w:firstColumn="1" w:firstRow="1" w:lastColumn="0" w:lastRow="0" w:noHBand="0" w:noVBand="1" w:val="04A0"/>
      </w:tblPr>
      <w:tblGrid>
        <w:gridCol w:w="3024"/>
        <w:gridCol w:w="3024"/>
        <w:gridCol w:w="3024"/>
      </w:tblGrid>
      <w:tr>
        <w:tc>
          <w:tcPr>
            <w:tcW w:type="dxa" w:w="3685"/>
            <w:shd w:val="clear" w:color="auto" w:fill="1F497D"/>
            <w:vAlign w:val="center"/>
          </w:tcPr>
          <w:p>
            <w:r>
              <w:rPr>
                <w:b/>
                <w:color w:val="FFFFFF"/>
                <w:sz w:val="18"/>
              </w:rPr>
              <w:t>Item</w:t>
            </w:r>
          </w:p>
        </w:tc>
        <w:tc>
          <w:tcPr>
            <w:tcW w:type="dxa" w:w="1984"/>
            <w:shd w:val="clear" w:color="auto" w:fill="1F497D"/>
            <w:vAlign w:val="center"/>
          </w:tcPr>
          <w:p>
            <w:r>
              <w:rPr>
                <w:b/>
                <w:color w:val="FFFFFF"/>
                <w:sz w:val="18"/>
              </w:rPr>
              <w:t>Quantity / Spec</w:t>
            </w:r>
          </w:p>
        </w:tc>
        <w:tc>
          <w:tcPr>
            <w:tcW w:type="dxa" w:w="4252"/>
            <w:shd w:val="clear" w:color="auto" w:fill="1F497D"/>
            <w:vAlign w:val="center"/>
          </w:tcPr>
          <w:p>
            <w:r>
              <w:rPr>
                <w:b/>
                <w:color w:val="FFFFFF"/>
                <w:sz w:val="18"/>
              </w:rPr>
              <w:t>Purpose</w:t>
            </w:r>
          </w:p>
        </w:tc>
      </w:tr>
      <w:tr>
        <w:tc>
          <w:tcPr>
            <w:tcW w:type="dxa" w:w="3685"/>
            <w:shd w:val="clear" w:color="auto" w:fill="FFFFFF"/>
            <w:vAlign w:val="center"/>
          </w:tcPr>
          <w:p>
            <w:r>
              <w:rPr>
                <w:sz w:val="18"/>
              </w:rPr>
              <w:t>Grain augers</w:t>
            </w:r>
          </w:p>
        </w:tc>
        <w:tc>
          <w:tcPr>
            <w:tcW w:type="dxa" w:w="1984"/>
            <w:shd w:val="clear" w:color="auto" w:fill="FFFFFF"/>
            <w:vAlign w:val="center"/>
          </w:tcPr>
          <w:p>
            <w:r>
              <w:rPr>
                <w:sz w:val="18"/>
              </w:rPr>
              <w:t>×4</w:t>
            </w:r>
          </w:p>
        </w:tc>
        <w:tc>
          <w:tcPr>
            <w:tcW w:type="dxa" w:w="4252"/>
            <w:shd w:val="clear" w:color="auto" w:fill="FFFFFF"/>
            <w:vAlign w:val="center"/>
          </w:tcPr>
          <w:p>
            <w:r>
              <w:rPr>
                <w:sz w:val="18"/>
              </w:rPr>
              <w:t>Transfer and load-out</w:t>
            </w:r>
          </w:p>
        </w:tc>
      </w:tr>
      <w:tr>
        <w:tc>
          <w:tcPr>
            <w:tcW w:type="dxa" w:w="3685"/>
            <w:shd w:val="clear" w:color="auto" w:fill="F2F2F2"/>
            <w:vAlign w:val="center"/>
          </w:tcPr>
          <w:p>
            <w:r>
              <w:rPr>
                <w:sz w:val="18"/>
              </w:rPr>
              <w:t>Belt conveyors (sealed)</w:t>
            </w:r>
          </w:p>
        </w:tc>
        <w:tc>
          <w:tcPr>
            <w:tcW w:type="dxa" w:w="1984"/>
            <w:shd w:val="clear" w:color="auto" w:fill="F2F2F2"/>
            <w:vAlign w:val="center"/>
          </w:tcPr>
          <w:p>
            <w:r>
              <w:rPr>
                <w:sz w:val="18"/>
              </w:rPr>
              <w:t>×2</w:t>
            </w:r>
          </w:p>
        </w:tc>
        <w:tc>
          <w:tcPr>
            <w:tcW w:type="dxa" w:w="4252"/>
            <w:shd w:val="clear" w:color="auto" w:fill="F2F2F2"/>
            <w:vAlign w:val="center"/>
          </w:tcPr>
          <w:p>
            <w:r>
              <w:rPr>
                <w:sz w:val="18"/>
              </w:rPr>
              <w:t>Receival to storage</w:t>
            </w:r>
          </w:p>
        </w:tc>
      </w:tr>
      <w:tr>
        <w:tc>
          <w:tcPr>
            <w:tcW w:type="dxa" w:w="3685"/>
            <w:shd w:val="clear" w:color="auto" w:fill="FFFFFF"/>
            <w:vAlign w:val="center"/>
          </w:tcPr>
          <w:p>
            <w:r>
              <w:rPr>
                <w:sz w:val="18"/>
              </w:rPr>
              <w:t>Continuous-flow dryer</w:t>
            </w:r>
          </w:p>
        </w:tc>
        <w:tc>
          <w:tcPr>
            <w:tcW w:type="dxa" w:w="1984"/>
            <w:shd w:val="clear" w:color="auto" w:fill="FFFFFF"/>
            <w:vAlign w:val="center"/>
          </w:tcPr>
          <w:p>
            <w:r>
              <w:rPr>
                <w:sz w:val="18"/>
              </w:rPr>
              <w:t>1 unit</w:t>
            </w:r>
          </w:p>
        </w:tc>
        <w:tc>
          <w:tcPr>
            <w:tcW w:type="dxa" w:w="4252"/>
            <w:shd w:val="clear" w:color="auto" w:fill="FFFFFF"/>
            <w:vAlign w:val="center"/>
          </w:tcPr>
          <w:p>
            <w:r>
              <w:rPr>
                <w:sz w:val="18"/>
              </w:rPr>
              <w:t>Moisture conditioning</w:t>
            </w:r>
          </w:p>
        </w:tc>
      </w:tr>
      <w:tr>
        <w:tc>
          <w:tcPr>
            <w:tcW w:type="dxa" w:w="3685"/>
            <w:shd w:val="clear" w:color="auto" w:fill="F2F2F2"/>
            <w:vAlign w:val="center"/>
          </w:tcPr>
          <w:p>
            <w:r>
              <w:rPr>
                <w:sz w:val="18"/>
              </w:rPr>
              <w:t>Weighbridge system</w:t>
            </w:r>
          </w:p>
        </w:tc>
        <w:tc>
          <w:tcPr>
            <w:tcW w:type="dxa" w:w="1984"/>
            <w:shd w:val="clear" w:color="auto" w:fill="F2F2F2"/>
            <w:vAlign w:val="center"/>
          </w:tcPr>
          <w:p>
            <w:r>
              <w:rPr>
                <w:sz w:val="18"/>
              </w:rPr>
              <w:t>80 t rated</w:t>
            </w:r>
          </w:p>
        </w:tc>
        <w:tc>
          <w:tcPr>
            <w:tcW w:type="dxa" w:w="4252"/>
            <w:shd w:val="clear" w:color="auto" w:fill="F2F2F2"/>
            <w:vAlign w:val="center"/>
          </w:tcPr>
          <w:p>
            <w:r>
              <w:rPr>
                <w:sz w:val="18"/>
              </w:rPr>
              <w:t>Inbound/outbound verification</w:t>
            </w:r>
          </w:p>
        </w:tc>
      </w:tr>
      <w:tr>
        <w:tc>
          <w:tcPr>
            <w:tcW w:type="dxa" w:w="3685"/>
            <w:shd w:val="clear" w:color="auto" w:fill="FFFFFF"/>
            <w:vAlign w:val="center"/>
          </w:tcPr>
          <w:p>
            <w:r>
              <w:rPr>
                <w:sz w:val="18"/>
              </w:rPr>
              <w:t>Grain quality analyser (NIR)</w:t>
            </w:r>
          </w:p>
        </w:tc>
        <w:tc>
          <w:tcPr>
            <w:tcW w:type="dxa" w:w="1984"/>
            <w:shd w:val="clear" w:color="auto" w:fill="FFFFFF"/>
            <w:vAlign w:val="center"/>
          </w:tcPr>
          <w:p>
            <w:r>
              <w:rPr>
                <w:sz w:val="18"/>
              </w:rPr>
              <w:t>In-line</w:t>
            </w:r>
          </w:p>
        </w:tc>
        <w:tc>
          <w:tcPr>
            <w:tcW w:type="dxa" w:w="4252"/>
            <w:shd w:val="clear" w:color="auto" w:fill="FFFFFF"/>
            <w:vAlign w:val="center"/>
          </w:tcPr>
          <w:p>
            <w:r>
              <w:rPr>
                <w:sz w:val="18"/>
              </w:rPr>
              <w:t>Protein, moisture, oil testing</w:t>
            </w:r>
          </w:p>
        </w:tc>
      </w:tr>
      <w:tr>
        <w:tc>
          <w:tcPr>
            <w:tcW w:type="dxa" w:w="3685"/>
            <w:shd w:val="clear" w:color="auto" w:fill="F2F2F2"/>
            <w:vAlign w:val="center"/>
          </w:tcPr>
          <w:p>
            <w:r>
              <w:rPr>
                <w:sz w:val="18"/>
              </w:rPr>
              <w:t>Rotary screen cleaner</w:t>
            </w:r>
          </w:p>
        </w:tc>
        <w:tc>
          <w:tcPr>
            <w:tcW w:type="dxa" w:w="1984"/>
            <w:shd w:val="clear" w:color="auto" w:fill="F2F2F2"/>
            <w:vAlign w:val="center"/>
          </w:tcPr>
          <w:p>
            <w:r>
              <w:rPr>
                <w:sz w:val="18"/>
              </w:rPr>
              <w:t>1 unit</w:t>
            </w:r>
          </w:p>
        </w:tc>
        <w:tc>
          <w:tcPr>
            <w:tcW w:type="dxa" w:w="4252"/>
            <w:shd w:val="clear" w:color="auto" w:fill="F2F2F2"/>
            <w:vAlign w:val="center"/>
          </w:tcPr>
          <w:p>
            <w:r>
              <w:rPr>
                <w:sz w:val="18"/>
              </w:rPr>
              <w:t>Pre-storage cleaning</w:t>
            </w:r>
          </w:p>
        </w:tc>
      </w:tr>
      <w:tr>
        <w:tc>
          <w:tcPr>
            <w:tcW w:type="dxa" w:w="3685"/>
            <w:shd w:val="clear" w:color="auto" w:fill="FFFFFF"/>
            <w:vAlign w:val="center"/>
          </w:tcPr>
          <w:p>
            <w:r>
              <w:rPr>
                <w:sz w:val="18"/>
              </w:rPr>
              <w:t>In-line belt sampler</w:t>
            </w:r>
          </w:p>
        </w:tc>
        <w:tc>
          <w:tcPr>
            <w:tcW w:type="dxa" w:w="1984"/>
            <w:shd w:val="clear" w:color="auto" w:fill="FFFFFF"/>
            <w:vAlign w:val="center"/>
          </w:tcPr>
          <w:p>
            <w:r>
              <w:rPr>
                <w:sz w:val="18"/>
              </w:rPr>
              <w:t>1 unit</w:t>
            </w:r>
          </w:p>
        </w:tc>
        <w:tc>
          <w:tcPr>
            <w:tcW w:type="dxa" w:w="4252"/>
            <w:shd w:val="clear" w:color="auto" w:fill="FFFFFF"/>
            <w:vAlign w:val="center"/>
          </w:tcPr>
          <w:p>
            <w:r>
              <w:rPr>
                <w:sz w:val="18"/>
              </w:rPr>
              <w:t>Representative lot sampling</w:t>
            </w:r>
          </w:p>
        </w:tc>
      </w:tr>
    </w:tbl>
    <w:p/>
    <w:p>
      <w:pPr>
        <w:pStyle w:val="Heading1"/>
      </w:pPr>
      <w:r>
        <w:rPr>
          <w:color w:val="1F497D"/>
        </w:rPr>
        <w:t>4.  FACILITIES AND SERVICES</w:t>
      </w:r>
    </w:p>
    <w:p>
      <w:r>
        <w:rPr>
          <w:i/>
          <w:color w:val="555555"/>
          <w:sz w:val="18"/>
        </w:rPr>
        <w:t>Rules s4-2 — Element 2.1 checking points C1, C2, C3</w:t>
      </w:r>
    </w:p>
    <w:p>
      <w:pPr>
        <w:pStyle w:val="Heading2"/>
      </w:pPr>
      <w:r>
        <w:t>4.1  Buildings, Equipment and Facilities (C1)</w:t>
      </w:r>
    </w:p>
    <w:p>
      <w:r>
        <w:rPr>
          <w:b w:val="0"/>
          <w:i w:val="0"/>
          <w:sz w:val="20"/>
        </w:rPr>
        <w:t>The establishment has all buildings, equipment, facilities and services required for the registered export operations. Facilities are maintained in an operational condition appropriate for handling and exporting Barley.</w:t>
      </w:r>
    </w:p>
    <w:p>
      <w:pPr>
        <w:pStyle w:val="Heading2"/>
      </w:pPr>
      <w:r>
        <w:t>4.2  Lighting (C2)</w:t>
      </w:r>
    </w:p>
    <w:p>
      <w:r>
        <w:rPr>
          <w:b w:val="0"/>
          <w:i w:val="0"/>
          <w:sz w:val="20"/>
        </w:rPr>
        <w:t>High-efficiency LED battens throughout: 520 lux packing hall, 400 lux cool store entry, 380 lux dispatch bay. Sensor-activated step-lighting along conveyor access walkways. All fittings shatterproof-sleeved, IP54 rated minimum.</w:t>
      </w:r>
    </w:p>
    <w:p>
      <w:pPr>
        <w:pStyle w:val="Heading2"/>
      </w:pPr>
      <w:r>
        <w:t>4.3  Handwashing and Toilet Facilities (C3)</w:t>
      </w:r>
    </w:p>
    <w:p>
      <w:r>
        <w:rPr>
          <w:b w:val="0"/>
          <w:i w:val="0"/>
          <w:sz w:val="20"/>
        </w:rPr>
        <w:t>Purpose-built amenities: 1 toilet, 2 hand basins — insulated hot-water system, soap and single-use paper towels. Amenities connected to main processing building via covered walkway. In-line handwash basin at processing floor entry point.</w:t>
      </w:r>
    </w:p>
    <w:p/>
    <w:p>
      <w:pPr>
        <w:pStyle w:val="Heading1"/>
      </w:pPr>
      <w:r>
        <w:rPr>
          <w:color w:val="1F497D"/>
        </w:rPr>
        <w:t>5.  DESIGN AND CONSTRUCTION STANDARDS</w:t>
      </w:r>
    </w:p>
    <w:p>
      <w:r>
        <w:rPr>
          <w:i/>
          <w:color w:val="555555"/>
          <w:sz w:val="18"/>
        </w:rPr>
        <w:t>Rules s4-2(5), s4-2(6) — Element 2.2 checking points C4, C5, C6</w:t>
      </w:r>
    </w:p>
    <w:p>
      <w:pPr>
        <w:pStyle w:val="Heading2"/>
      </w:pPr>
      <w:r>
        <w:t>5.1  Cleanability (C4)</w:t>
      </w:r>
    </w:p>
    <w:p>
      <w:r>
        <w:rPr>
          <w:b w:val="0"/>
          <w:i w:val="0"/>
          <w:sz w:val="20"/>
        </w:rPr>
        <w:t>Purpose-built construction with cleanability designed in: coved epoxy floors, smooth coated-steel wall panels, no horizontal ledges on equipment or structure, all joints sealed with food-grade silicone, recessed floor drain channels with removable SS covers. Annual deep-clean by specialist contractor supplements weekly programme.</w:t>
      </w:r>
    </w:p>
    <w:p>
      <w:pPr>
        <w:pStyle w:val="Heading2"/>
      </w:pPr>
      <w:r>
        <w:t>5.2  Contamination and Pest Harbourage Minimisation (C5)</w:t>
      </w:r>
    </w:p>
    <w:p>
      <w:r>
        <w:rPr>
          <w:b w:val="0"/>
          <w:i w:val="0"/>
          <w:sz w:val="20"/>
        </w:rPr>
        <w:t>The Barley storage utilises an open-front bay design. The bay entrance (6 m wide × 4 m high) is fitted with a chain-link gate for security but provides no insect or bird exclusion. A mesh curtain was installed in 2021 but has sustained damage and does not provide a complete seal. Enclosed processing areas have full pest exclusion measures.</w:t>
      </w:r>
    </w:p>
    <w:p>
      <w:pPr>
        <w:pStyle w:val="Heading2"/>
      </w:pPr>
      <w:r>
        <w:t>5.3  Waste Disposal Design (C6)</w:t>
      </w:r>
    </w:p>
    <w:p>
      <w:r>
        <w:rPr>
          <w:b w:val="0"/>
          <w:i w:val="0"/>
          <w:sz w:val="20"/>
        </w:rPr>
        <w:t>Waste disposal: bunded concrete waste pad (4×6 m, 150 mm kerb on 3 sides) adjacent to building for solid waste collection in sealed lidded bins; liquid waste to licensed grease-trap and sewer connection; dust collection by wet scrubber — effluent to contained holding pond; all chemical waste in labelled containers in chemical store for licensed disposal. Records maintained.</w:t>
      </w:r>
    </w:p>
    <w:p/>
    <w:p>
      <w:pPr>
        <w:pStyle w:val="Heading1"/>
      </w:pPr>
      <w:r>
        <w:rPr>
          <w:color w:val="1F497D"/>
        </w:rPr>
        <w:t>6.  WASTE MANAGEMENT SYSTEM</w:t>
      </w:r>
    </w:p>
    <w:p>
      <w:r>
        <w:rPr>
          <w:i/>
          <w:color w:val="555555"/>
          <w:sz w:val="18"/>
        </w:rPr>
        <w:t>Rules s4-7A(2)(a) — Element 3.1 checking point C7</w:t>
      </w:r>
    </w:p>
    <w:p>
      <w:pPr>
        <w:pStyle w:val="Heading2"/>
      </w:pPr>
      <w:r>
        <w:t>6.1  Waste Management Procedures (C7)</w:t>
      </w:r>
    </w:p>
    <w:p>
      <w:r>
        <w:rPr>
          <w:b w:val="0"/>
          <w:i w:val="0"/>
          <w:sz w:val="20"/>
        </w:rPr>
        <w:t>Waste Management SOP (WM-SOP-199, version 2.4, current): specifies waste stream segregation, bin placement, collection frequencies and disposal methods. Reviewed bi-annually. Non-conformances logged in the corrective action register. Accessible to all staff on site intranet.</w:t>
      </w:r>
    </w:p>
    <w:p/>
    <w:p>
      <w:r>
        <w:rPr>
          <w:b/>
          <w:i w:val="0"/>
          <w:sz w:val="20"/>
        </w:rPr>
        <w:t>Waste streams and handling arrangements:</w:t>
      </w:r>
    </w:p>
    <w:tbl>
      <w:tblPr>
        <w:tblStyle w:val="TableGrid"/>
        <w:tblW w:type="auto" w:w="0"/>
        <w:jc w:val="left"/>
        <w:tblLook w:firstColumn="1" w:firstRow="1" w:lastColumn="0" w:lastRow="0" w:noHBand="0" w:noVBand="1" w:val="04A0"/>
      </w:tblPr>
      <w:tblGrid>
        <w:gridCol w:w="3024"/>
        <w:gridCol w:w="3024"/>
        <w:gridCol w:w="3024"/>
      </w:tblGrid>
      <w:tr>
        <w:tc>
          <w:tcPr>
            <w:tcW w:type="dxa" w:w="2835"/>
            <w:shd w:val="clear" w:color="auto" w:fill="1F497D"/>
            <w:vAlign w:val="center"/>
          </w:tcPr>
          <w:p>
            <w:r>
              <w:rPr>
                <w:b/>
                <w:color w:val="FFFFFF"/>
                <w:sz w:val="18"/>
              </w:rPr>
              <w:t>Waste Type</w:t>
            </w:r>
          </w:p>
        </w:tc>
        <w:tc>
          <w:tcPr>
            <w:tcW w:type="dxa" w:w="4252"/>
            <w:shd w:val="clear" w:color="auto" w:fill="1F497D"/>
            <w:vAlign w:val="center"/>
          </w:tcPr>
          <w:p>
            <w:r>
              <w:rPr>
                <w:b/>
                <w:color w:val="FFFFFF"/>
                <w:sz w:val="18"/>
              </w:rPr>
              <w:t>Handling Method</w:t>
            </w:r>
          </w:p>
        </w:tc>
        <w:tc>
          <w:tcPr>
            <w:tcW w:type="dxa" w:w="2835"/>
            <w:shd w:val="clear" w:color="auto" w:fill="1F497D"/>
            <w:vAlign w:val="center"/>
          </w:tcPr>
          <w:p>
            <w:r>
              <w:rPr>
                <w:b/>
                <w:color w:val="FFFFFF"/>
                <w:sz w:val="18"/>
              </w:rPr>
              <w:t>Removal Frequency</w:t>
            </w:r>
          </w:p>
        </w:tc>
      </w:tr>
      <w:tr>
        <w:tc>
          <w:tcPr>
            <w:tcW w:type="dxa" w:w="2835"/>
            <w:shd w:val="clear" w:color="auto" w:fill="FFFFFF"/>
            <w:vAlign w:val="center"/>
          </w:tcPr>
          <w:p>
            <w:r>
              <w:rPr>
                <w:sz w:val="18"/>
              </w:rPr>
              <w:t>Grain spillage</w:t>
            </w:r>
          </w:p>
        </w:tc>
        <w:tc>
          <w:tcPr>
            <w:tcW w:type="dxa" w:w="4252"/>
            <w:shd w:val="clear" w:color="auto" w:fill="FFFFFF"/>
            <w:vAlign w:val="center"/>
          </w:tcPr>
          <w:p>
            <w:r>
              <w:rPr>
                <w:sz w:val="18"/>
              </w:rPr>
              <w:t>Sealed collection bins under auger/conveyor discharge</w:t>
            </w:r>
          </w:p>
        </w:tc>
        <w:tc>
          <w:tcPr>
            <w:tcW w:type="dxa" w:w="2835"/>
            <w:shd w:val="clear" w:color="auto" w:fill="FFFFFF"/>
            <w:vAlign w:val="center"/>
          </w:tcPr>
          <w:p>
            <w:r>
              <w:rPr>
                <w:sz w:val="18"/>
              </w:rPr>
              <w:t>Daily removal</w:t>
            </w:r>
          </w:p>
        </w:tc>
      </w:tr>
      <w:tr>
        <w:tc>
          <w:tcPr>
            <w:tcW w:type="dxa" w:w="2835"/>
            <w:shd w:val="clear" w:color="auto" w:fill="F2F2F2"/>
            <w:vAlign w:val="center"/>
          </w:tcPr>
          <w:p>
            <w:r>
              <w:rPr>
                <w:sz w:val="18"/>
              </w:rPr>
              <w:t>Grain dust</w:t>
            </w:r>
          </w:p>
        </w:tc>
        <w:tc>
          <w:tcPr>
            <w:tcW w:type="dxa" w:w="4252"/>
            <w:shd w:val="clear" w:color="auto" w:fill="F2F2F2"/>
            <w:vAlign w:val="center"/>
          </w:tcPr>
          <w:p>
            <w:r>
              <w:rPr>
                <w:sz w:val="18"/>
              </w:rPr>
              <w:t>Cyclone separator → sealed collection bags</w:t>
            </w:r>
          </w:p>
        </w:tc>
        <w:tc>
          <w:tcPr>
            <w:tcW w:type="dxa" w:w="2835"/>
            <w:shd w:val="clear" w:color="auto" w:fill="F2F2F2"/>
            <w:vAlign w:val="center"/>
          </w:tcPr>
          <w:p>
            <w:r>
              <w:rPr>
                <w:sz w:val="18"/>
              </w:rPr>
              <w:t>Fortnightly bag disposal</w:t>
            </w:r>
          </w:p>
        </w:tc>
      </w:tr>
      <w:tr>
        <w:tc>
          <w:tcPr>
            <w:tcW w:type="dxa" w:w="2835"/>
            <w:shd w:val="clear" w:color="auto" w:fill="FFFFFF"/>
            <w:vAlign w:val="center"/>
          </w:tcPr>
          <w:p>
            <w:r>
              <w:rPr>
                <w:sz w:val="18"/>
              </w:rPr>
              <w:t>Washdown water</w:t>
            </w:r>
          </w:p>
        </w:tc>
        <w:tc>
          <w:tcPr>
            <w:tcW w:type="dxa" w:w="4252"/>
            <w:shd w:val="clear" w:color="auto" w:fill="FFFFFF"/>
            <w:vAlign w:val="center"/>
          </w:tcPr>
          <w:p>
            <w:r>
              <w:rPr>
                <w:sz w:val="18"/>
              </w:rPr>
              <w:t>Floor drains → bunded sump</w:t>
            </w:r>
          </w:p>
        </w:tc>
        <w:tc>
          <w:tcPr>
            <w:tcW w:type="dxa" w:w="2835"/>
            <w:shd w:val="clear" w:color="auto" w:fill="FFFFFF"/>
            <w:vAlign w:val="center"/>
          </w:tcPr>
          <w:p>
            <w:r>
              <w:rPr>
                <w:sz w:val="18"/>
              </w:rPr>
              <w:t>Weekly pump-out</w:t>
            </w:r>
          </w:p>
        </w:tc>
      </w:tr>
      <w:tr>
        <w:tc>
          <w:tcPr>
            <w:tcW w:type="dxa" w:w="2835"/>
            <w:shd w:val="clear" w:color="auto" w:fill="F2F2F2"/>
            <w:vAlign w:val="center"/>
          </w:tcPr>
          <w:p>
            <w:r>
              <w:rPr>
                <w:sz w:val="18"/>
              </w:rPr>
              <w:t>Packaging waste</w:t>
            </w:r>
          </w:p>
        </w:tc>
        <w:tc>
          <w:tcPr>
            <w:tcW w:type="dxa" w:w="4252"/>
            <w:shd w:val="clear" w:color="auto" w:fill="F2F2F2"/>
            <w:vAlign w:val="center"/>
          </w:tcPr>
          <w:p>
            <w:r>
              <w:rPr>
                <w:sz w:val="18"/>
              </w:rPr>
              <w:t>Compressor baler in waste bay</w:t>
            </w:r>
          </w:p>
        </w:tc>
        <w:tc>
          <w:tcPr>
            <w:tcW w:type="dxa" w:w="2835"/>
            <w:shd w:val="clear" w:color="auto" w:fill="F2F2F2"/>
            <w:vAlign w:val="center"/>
          </w:tcPr>
          <w:p>
            <w:r>
              <w:rPr>
                <w:sz w:val="18"/>
              </w:rPr>
              <w:t>Monthly contractor collection</w:t>
            </w:r>
          </w:p>
        </w:tc>
      </w:tr>
      <w:tr>
        <w:tc>
          <w:tcPr>
            <w:tcW w:type="dxa" w:w="2835"/>
            <w:shd w:val="clear" w:color="auto" w:fill="FFFFFF"/>
            <w:vAlign w:val="center"/>
          </w:tcPr>
          <w:p>
            <w:r>
              <w:rPr>
                <w:sz w:val="18"/>
              </w:rPr>
              <w:t>Chemical containers</w:t>
            </w:r>
          </w:p>
        </w:tc>
        <w:tc>
          <w:tcPr>
            <w:tcW w:type="dxa" w:w="4252"/>
            <w:shd w:val="clear" w:color="auto" w:fill="FFFFFF"/>
            <w:vAlign w:val="center"/>
          </w:tcPr>
          <w:p>
            <w:r>
              <w:rPr>
                <w:sz w:val="18"/>
              </w:rPr>
              <w:t>Labelled, sealed store</w:t>
            </w:r>
          </w:p>
        </w:tc>
        <w:tc>
          <w:tcPr>
            <w:tcW w:type="dxa" w:w="2835"/>
            <w:shd w:val="clear" w:color="auto" w:fill="FFFFFF"/>
            <w:vAlign w:val="center"/>
          </w:tcPr>
          <w:p>
            <w:r>
              <w:rPr>
                <w:sz w:val="18"/>
              </w:rPr>
              <w:t>Licensed waste contractor quarterly</w:t>
            </w:r>
          </w:p>
        </w:tc>
      </w:tr>
    </w:tbl>
    <w:p/>
    <w:p>
      <w:pPr>
        <w:pStyle w:val="Heading1"/>
      </w:pPr>
      <w:r>
        <w:rPr>
          <w:color w:val="1F497D"/>
        </w:rPr>
        <w:t>7.  ESTABLISHMENT CONDITION</w:t>
      </w:r>
    </w:p>
    <w:p>
      <w:r>
        <w:rPr>
          <w:i/>
          <w:color w:val="555555"/>
          <w:sz w:val="18"/>
        </w:rPr>
        <w:t>Rules s4-6 — Element 3.4 (C8) and Element 3.5 (C9)</w:t>
      </w:r>
    </w:p>
    <w:p>
      <w:pPr>
        <w:pStyle w:val="Heading2"/>
      </w:pPr>
      <w:r>
        <w:t>7.1  Hygiene and Cleanliness (C8)</w:t>
      </w:r>
    </w:p>
    <w:p>
      <w:r>
        <w:rPr>
          <w:b w:val="0"/>
          <w:i w:val="0"/>
          <w:sz w:val="20"/>
        </w:rPr>
        <w:t>Internal inspection results: floor — no accumulated debris in corners or wall bases; equipment — all conveyor belts, rollers and hoppers clean; overhead structure — free from hanging debris; drains — clear and odour-free; amenities — clean with full consumable stocks. Last full deep-clean: 4 weeks prior to this assessment.</w:t>
      </w:r>
    </w:p>
    <w:p>
      <w:pPr>
        <w:pStyle w:val="Heading2"/>
      </w:pPr>
      <w:r>
        <w:t>7.2  Pest Condition (C9)</w:t>
      </w:r>
    </w:p>
    <w:p>
      <w:r>
        <w:rPr>
          <w:b w:val="0"/>
          <w:i w:val="0"/>
          <w:sz w:val="20"/>
        </w:rPr>
        <w:t>Current pest status: all monitoring indicators within acceptable range. Rodent bait consumption at routine background level. Insect sticky traps show no grain storage pest species. No evidence of bird entry. Bait station register up to date and signed by licensed pest management technician (last service: January 2025).</w:t>
      </w:r>
    </w:p>
    <w:p/>
    <w:p>
      <w:pPr>
        <w:pStyle w:val="Heading1"/>
      </w:pPr>
      <w:r>
        <w:rPr>
          <w:color w:val="1F497D"/>
        </w:rPr>
        <w:t>8.  SERVICES</w:t>
      </w:r>
    </w:p>
    <w:tbl>
      <w:tblPr>
        <w:tblStyle w:val="TableGrid"/>
        <w:tblW w:type="auto" w:w="0"/>
        <w:jc w:val="left"/>
        <w:tblLook w:firstColumn="1" w:firstRow="1" w:lastColumn="0" w:lastRow="0" w:noHBand="0" w:noVBand="1" w:val="04A0"/>
      </w:tblPr>
      <w:tblGrid>
        <w:gridCol w:w="4536"/>
        <w:gridCol w:w="4536"/>
      </w:tblGrid>
      <w:tr>
        <w:tc>
          <w:tcPr>
            <w:tcW w:type="dxa" w:w="2551"/>
            <w:shd w:val="clear" w:color="auto" w:fill="1F497D"/>
            <w:vAlign w:val="center"/>
          </w:tcPr>
          <w:p>
            <w:r>
              <w:rPr>
                <w:b/>
                <w:color w:val="FFFFFF"/>
                <w:sz w:val="18"/>
              </w:rPr>
              <w:t>Service</w:t>
            </w:r>
          </w:p>
        </w:tc>
        <w:tc>
          <w:tcPr>
            <w:tcW w:type="dxa" w:w="7370"/>
            <w:shd w:val="clear" w:color="auto" w:fill="1F497D"/>
            <w:vAlign w:val="center"/>
          </w:tcPr>
          <w:p>
            <w:r>
              <w:rPr>
                <w:b/>
                <w:color w:val="FFFFFF"/>
                <w:sz w:val="18"/>
              </w:rPr>
              <w:t>Details</w:t>
            </w:r>
          </w:p>
        </w:tc>
      </w:tr>
      <w:tr>
        <w:tc>
          <w:tcPr>
            <w:tcW w:type="dxa" w:w="2551"/>
            <w:shd w:val="clear" w:color="auto" w:fill="FFFFFF"/>
            <w:vAlign w:val="center"/>
          </w:tcPr>
          <w:p>
            <w:r>
              <w:rPr>
                <w:sz w:val="18"/>
              </w:rPr>
              <w:t>Electrical supply</w:t>
            </w:r>
          </w:p>
        </w:tc>
        <w:tc>
          <w:tcPr>
            <w:tcW w:type="dxa" w:w="7370"/>
            <w:shd w:val="clear" w:color="auto" w:fill="FFFFFF"/>
            <w:vAlign w:val="center"/>
          </w:tcPr>
          <w:p>
            <w:r>
              <w:rPr>
                <w:sz w:val="18"/>
              </w:rPr>
              <w:t>Three-phase 415 V — WA Power Networks connection at site entry</w:t>
            </w:r>
          </w:p>
        </w:tc>
      </w:tr>
      <w:tr>
        <w:tc>
          <w:tcPr>
            <w:tcW w:type="dxa" w:w="2551"/>
            <w:shd w:val="clear" w:color="auto" w:fill="F2F2F2"/>
            <w:vAlign w:val="center"/>
          </w:tcPr>
          <w:p>
            <w:r>
              <w:rPr>
                <w:sz w:val="18"/>
              </w:rPr>
              <w:t>Water supply</w:t>
            </w:r>
          </w:p>
        </w:tc>
        <w:tc>
          <w:tcPr>
            <w:tcW w:type="dxa" w:w="7370"/>
            <w:shd w:val="clear" w:color="auto" w:fill="F2F2F2"/>
            <w:vAlign w:val="center"/>
          </w:tcPr>
          <w:p>
            <w:r>
              <w:rPr>
                <w:sz w:val="18"/>
              </w:rPr>
              <w:t>mains water — 32 mm service</w:t>
            </w:r>
          </w:p>
        </w:tc>
      </w:tr>
      <w:tr>
        <w:tc>
          <w:tcPr>
            <w:tcW w:type="dxa" w:w="2551"/>
            <w:shd w:val="clear" w:color="auto" w:fill="FFFFFF"/>
            <w:vAlign w:val="center"/>
          </w:tcPr>
          <w:p>
            <w:r>
              <w:rPr>
                <w:sz w:val="18"/>
              </w:rPr>
              <w:t>Telecommunications</w:t>
            </w:r>
          </w:p>
        </w:tc>
        <w:tc>
          <w:tcPr>
            <w:tcW w:type="dxa" w:w="7370"/>
            <w:shd w:val="clear" w:color="auto" w:fill="FFFFFF"/>
            <w:vAlign w:val="center"/>
          </w:tcPr>
          <w:p>
            <w:r>
              <w:rPr>
                <w:sz w:val="18"/>
              </w:rPr>
              <w:t>NBN fixed line + mobile backup at administration/control room</w:t>
            </w:r>
          </w:p>
        </w:tc>
      </w:tr>
      <w:tr>
        <w:tc>
          <w:tcPr>
            <w:tcW w:type="dxa" w:w="2551"/>
            <w:shd w:val="clear" w:color="auto" w:fill="F2F2F2"/>
            <w:vAlign w:val="center"/>
          </w:tcPr>
          <w:p>
            <w:r>
              <w:rPr>
                <w:sz w:val="18"/>
              </w:rPr>
              <w:t>Sewerage</w:t>
            </w:r>
          </w:p>
        </w:tc>
        <w:tc>
          <w:tcPr>
            <w:tcW w:type="dxa" w:w="7370"/>
            <w:shd w:val="clear" w:color="auto" w:fill="F2F2F2"/>
            <w:vAlign w:val="center"/>
          </w:tcPr>
          <w:p>
            <w:r>
              <w:rPr>
                <w:sz w:val="18"/>
              </w:rPr>
              <w:t>Septic system — licensed — serves amenities block</w:t>
            </w:r>
          </w:p>
        </w:tc>
      </w:tr>
      <w:tr>
        <w:tc>
          <w:tcPr>
            <w:tcW w:type="dxa" w:w="2551"/>
            <w:shd w:val="clear" w:color="auto" w:fill="FFFFFF"/>
            <w:vAlign w:val="center"/>
          </w:tcPr>
          <w:p>
            <w:r>
              <w:rPr>
                <w:sz w:val="18"/>
              </w:rPr>
              <w:t>Stormwater</w:t>
            </w:r>
          </w:p>
        </w:tc>
        <w:tc>
          <w:tcPr>
            <w:tcW w:type="dxa" w:w="7370"/>
            <w:shd w:val="clear" w:color="auto" w:fill="FFFFFF"/>
            <w:vAlign w:val="center"/>
          </w:tcPr>
          <w:p>
            <w:r>
              <w:rPr>
                <w:sz w:val="18"/>
              </w:rPr>
              <w:t>Sheet flow to soakage trench with licensed discharge point</w:t>
            </w:r>
          </w:p>
        </w:tc>
      </w:tr>
      <w:tr>
        <w:tc>
          <w:tcPr>
            <w:tcW w:type="dxa" w:w="2551"/>
            <w:shd w:val="clear" w:color="auto" w:fill="F2F2F2"/>
            <w:vAlign w:val="center"/>
          </w:tcPr>
          <w:p>
            <w:r>
              <w:rPr>
                <w:sz w:val="18"/>
              </w:rPr>
              <w:t>Power backup</w:t>
            </w:r>
          </w:p>
        </w:tc>
        <w:tc>
          <w:tcPr>
            <w:tcW w:type="dxa" w:w="7370"/>
            <w:shd w:val="clear" w:color="auto" w:fill="F2F2F2"/>
            <w:vAlign w:val="center"/>
          </w:tcPr>
          <w:p>
            <w:r>
              <w:rPr>
                <w:sz w:val="18"/>
              </w:rPr>
              <w:t>60 kVA generator — auto-start on grid failure</w:t>
            </w:r>
          </w:p>
        </w:tc>
      </w:tr>
    </w:tbl>
    <w:p/>
    <w:p>
      <w:pPr>
        <w:pStyle w:val="Heading1"/>
      </w:pPr>
      <w:r>
        <w:rPr>
          <w:color w:val="1F497D"/>
        </w:rPr>
        <w:t>9.  AUTHORIWATION</w:t>
      </w:r>
    </w:p>
    <w:tbl>
      <w:tblPr>
        <w:tblStyle w:val="TableGrid"/>
        <w:tblW w:type="auto" w:w="0"/>
        <w:tblLook w:firstColumn="1" w:firstRow="1" w:lastColumn="0" w:lastRow="0" w:noHBand="0" w:noVBand="1" w:val="04A0"/>
      </w:tblPr>
      <w:tblGrid>
        <w:gridCol w:w="4536"/>
        <w:gridCol w:w="4536"/>
      </w:tblGrid>
      <w:tr>
        <w:tc>
          <w:tcPr>
            <w:tcW w:type="dxa" w:w="3118"/>
            <w:shd w:val="clear" w:color="auto" w:fill="DCE6F1"/>
            <w:vAlign w:val="center"/>
          </w:tcPr>
          <w:p>
            <w:r>
              <w:rPr>
                <w:b/>
                <w:sz w:val="18"/>
              </w:rPr>
              <w:t>Prepared By</w:t>
            </w:r>
          </w:p>
        </w:tc>
        <w:tc>
          <w:tcPr>
            <w:tcW w:type="dxa" w:w="6236"/>
            <w:vAlign w:val="center"/>
          </w:tcPr>
          <w:p>
            <w:r>
              <w:rPr>
                <w:sz w:val="18"/>
              </w:rPr>
              <w:t>Don Trestrail</w:t>
            </w:r>
          </w:p>
        </w:tc>
      </w:tr>
      <w:tr>
        <w:tc>
          <w:tcPr>
            <w:tcW w:type="dxa" w:w="3118"/>
            <w:shd w:val="clear" w:color="auto" w:fill="DCE6F1"/>
            <w:vAlign w:val="center"/>
          </w:tcPr>
          <w:p>
            <w:r>
              <w:rPr>
                <w:b/>
                <w:sz w:val="18"/>
              </w:rPr>
              <w:t>Position</w:t>
            </w:r>
          </w:p>
        </w:tc>
        <w:tc>
          <w:tcPr>
            <w:tcW w:type="dxa" w:w="6236"/>
            <w:vAlign w:val="center"/>
          </w:tcPr>
          <w:p>
            <w:r>
              <w:rPr>
                <w:sz w:val="18"/>
              </w:rPr>
              <w:t>Establishment Manager</w:t>
            </w:r>
          </w:p>
        </w:tc>
      </w:tr>
      <w:tr>
        <w:tc>
          <w:tcPr>
            <w:tcW w:type="dxa" w:w="3118"/>
            <w:shd w:val="clear" w:color="auto" w:fill="DCE6F1"/>
            <w:vAlign w:val="center"/>
          </w:tcPr>
          <w:p>
            <w:r>
              <w:rPr>
                <w:b/>
                <w:sz w:val="18"/>
              </w:rPr>
              <w:t>Date</w:t>
            </w:r>
          </w:p>
        </w:tc>
        <w:tc>
          <w:tcPr>
            <w:tcW w:type="dxa" w:w="6236"/>
            <w:vAlign w:val="center"/>
          </w:tcPr>
          <w:p>
            <w:r>
              <w:rPr>
                <w:sz w:val="18"/>
              </w:rPr>
              <w:t>17 April 2024</w:t>
            </w:r>
          </w:p>
        </w:tc>
      </w:tr>
      <w:tr>
        <w:tc>
          <w:tcPr>
            <w:tcW w:type="dxa" w:w="3118"/>
            <w:shd w:val="clear" w:color="auto" w:fill="DCE6F1"/>
            <w:vAlign w:val="center"/>
          </w:tcPr>
          <w:p>
            <w:r>
              <w:rPr>
                <w:b/>
                <w:sz w:val="18"/>
              </w:rPr>
              <w:t>Signature</w:t>
            </w:r>
          </w:p>
        </w:tc>
        <w:tc>
          <w:tcPr>
            <w:tcW w:type="dxa" w:w="6236"/>
            <w:vAlign w:val="center"/>
          </w:tcPr>
          <w:p>
            <w:r>
              <w:rPr>
                <w:sz w:val="18"/>
              </w:rPr>
            </w:r>
          </w:p>
        </w:tc>
      </w:tr>
      <w:tr>
        <w:tc>
          <w:tcPr>
            <w:tcW w:type="dxa" w:w="3118"/>
            <w:shd w:val="clear" w:color="auto" w:fill="DCE6F1"/>
            <w:vAlign w:val="center"/>
          </w:tcPr>
          <w:p>
            <w:r>
              <w:rPr>
                <w:b/>
                <w:sz w:val="18"/>
              </w:rPr>
              <w:t>Approved By</w:t>
            </w:r>
          </w:p>
        </w:tc>
        <w:tc>
          <w:tcPr>
            <w:tcW w:type="dxa" w:w="6236"/>
            <w:vAlign w:val="center"/>
          </w:tcPr>
          <w:p>
            <w:r>
              <w:rPr>
                <w:sz w:val="18"/>
              </w:rPr>
              <w:t>DAFF Authorised Officer</w:t>
            </w:r>
          </w:p>
        </w:tc>
      </w:tr>
      <w:tr>
        <w:tc>
          <w:tcPr>
            <w:tcW w:type="dxa" w:w="3118"/>
            <w:shd w:val="clear" w:color="auto" w:fill="DCE6F1"/>
            <w:vAlign w:val="center"/>
          </w:tcPr>
          <w:p>
            <w:r>
              <w:rPr>
                <w:b/>
                <w:sz w:val="18"/>
              </w:rPr>
              <w:t>Approval Date</w:t>
            </w:r>
          </w:p>
        </w:tc>
        <w:tc>
          <w:tcPr>
            <w:tcW w:type="dxa" w:w="6236"/>
            <w:vAlign w:val="center"/>
          </w:tcPr>
          <w:p>
            <w:r>
              <w:rPr>
                <w:sz w:val="18"/>
              </w:rPr>
            </w:r>
          </w:p>
        </w:tc>
      </w:tr>
    </w:tbl>
    <w:sectPr w:rsidR="00FC693F" w:rsidRPr="0006063C" w:rsidSect="00034616">
      <w:pgSz w:w="11906" w:h="16838"/>
      <w:pgMar w:top="1417"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