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Swan Valley Almonds</w:t>
            </w:r>
          </w:p>
        </w:tc>
      </w:tr>
      <w:tr>
        <w:tc>
          <w:tcPr>
            <w:tcW w:type="dxa" w:w="3118"/>
            <w:shd w:val="clear" w:color="auto" w:fill="DCE6F1"/>
            <w:vAlign w:val="center"/>
          </w:tcPr>
          <w:p>
            <w:r>
              <w:rPr>
                <w:b/>
                <w:sz w:val="18"/>
              </w:rPr>
              <w:t>RE Number</w:t>
            </w:r>
          </w:p>
        </w:tc>
        <w:tc>
          <w:tcPr>
            <w:tcW w:type="dxa" w:w="6236"/>
            <w:vAlign w:val="center"/>
          </w:tcPr>
          <w:p>
            <w:r>
              <w:rPr>
                <w:sz w:val="18"/>
              </w:rPr>
              <w:t>RE-WA-2021-0099</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15 Great Northern Highway, Middle Swan WA 6056</w:t>
            </w:r>
          </w:p>
        </w:tc>
      </w:tr>
      <w:tr>
        <w:tc>
          <w:tcPr>
            <w:tcW w:type="dxa" w:w="3118"/>
            <w:shd w:val="clear" w:color="auto" w:fill="DCE6F1"/>
            <w:vAlign w:val="center"/>
          </w:tcPr>
          <w:p>
            <w:r>
              <w:rPr>
                <w:b/>
                <w:sz w:val="18"/>
              </w:rPr>
              <w:t>Registered Commodity</w:t>
            </w:r>
          </w:p>
        </w:tc>
        <w:tc>
          <w:tcPr>
            <w:tcW w:type="dxa" w:w="6236"/>
            <w:vAlign w:val="center"/>
          </w:tcPr>
          <w:p>
            <w:r>
              <w:rPr>
                <w:sz w:val="18"/>
              </w:rPr>
              <w:t>Citrus</w:t>
            </w:r>
          </w:p>
        </w:tc>
      </w:tr>
      <w:tr>
        <w:tc>
          <w:tcPr>
            <w:tcW w:type="dxa" w:w="3118"/>
            <w:shd w:val="clear" w:color="auto" w:fill="DCE6F1"/>
            <w:vAlign w:val="center"/>
          </w:tcPr>
          <w:p>
            <w:r>
              <w:rPr>
                <w:b/>
                <w:sz w:val="18"/>
              </w:rPr>
              <w:t>Responsible Officer</w:t>
            </w:r>
          </w:p>
        </w:tc>
        <w:tc>
          <w:tcPr>
            <w:tcW w:type="dxa" w:w="6236"/>
            <w:vAlign w:val="center"/>
          </w:tcPr>
          <w:p>
            <w:r>
              <w:rPr>
                <w:sz w:val="18"/>
              </w:rPr>
              <w:t>Maria Nguyen</w:t>
            </w:r>
          </w:p>
        </w:tc>
      </w:tr>
      <w:tr>
        <w:tc>
          <w:tcPr>
            <w:tcW w:type="dxa" w:w="3118"/>
            <w:shd w:val="clear" w:color="auto" w:fill="DCE6F1"/>
            <w:vAlign w:val="center"/>
          </w:tcPr>
          <w:p>
            <w:r>
              <w:rPr>
                <w:b/>
                <w:sz w:val="18"/>
              </w:rPr>
              <w:t>Property Area</w:t>
            </w:r>
          </w:p>
        </w:tc>
        <w:tc>
          <w:tcPr>
            <w:tcW w:type="dxa" w:w="6236"/>
            <w:vAlign w:val="center"/>
          </w:tcPr>
          <w:p>
            <w:r>
              <w:rPr>
                <w:sz w:val="18"/>
              </w:rPr>
              <w:t>960.0 ha</w:t>
            </w:r>
          </w:p>
        </w:tc>
      </w:tr>
      <w:tr>
        <w:tc>
          <w:tcPr>
            <w:tcW w:type="dxa" w:w="3118"/>
            <w:shd w:val="clear" w:color="auto" w:fill="DCE6F1"/>
            <w:vAlign w:val="center"/>
          </w:tcPr>
          <w:p>
            <w:r>
              <w:rPr>
                <w:b/>
                <w:sz w:val="18"/>
              </w:rPr>
              <w:t>Year Established</w:t>
            </w:r>
          </w:p>
        </w:tc>
        <w:tc>
          <w:tcPr>
            <w:tcW w:type="dxa" w:w="6236"/>
            <w:vAlign w:val="center"/>
          </w:tcPr>
          <w:p>
            <w:r>
              <w:rPr>
                <w:sz w:val="18"/>
              </w:rPr>
              <w:t>2013</w:t>
            </w:r>
          </w:p>
        </w:tc>
      </w:tr>
      <w:tr>
        <w:tc>
          <w:tcPr>
            <w:tcW w:type="dxa" w:w="3118"/>
            <w:shd w:val="clear" w:color="auto" w:fill="DCE6F1"/>
            <w:vAlign w:val="center"/>
          </w:tcPr>
          <w:p>
            <w:r>
              <w:rPr>
                <w:b/>
                <w:sz w:val="18"/>
              </w:rPr>
              <w:t>Document Version</w:t>
            </w:r>
          </w:p>
        </w:tc>
        <w:tc>
          <w:tcPr>
            <w:tcW w:type="dxa" w:w="6236"/>
            <w:vAlign w:val="center"/>
          </w:tcPr>
          <w:p>
            <w:r>
              <w:rPr>
                <w:sz w:val="18"/>
              </w:rPr>
              <w:t>2.1</w:t>
            </w:r>
          </w:p>
        </w:tc>
      </w:tr>
      <w:tr>
        <w:tc>
          <w:tcPr>
            <w:tcW w:type="dxa" w:w="3118"/>
            <w:shd w:val="clear" w:color="auto" w:fill="DCE6F1"/>
            <w:vAlign w:val="center"/>
          </w:tcPr>
          <w:p>
            <w:r>
              <w:rPr>
                <w:b/>
                <w:sz w:val="18"/>
              </w:rPr>
              <w:t>Plan Date</w:t>
            </w:r>
          </w:p>
        </w:tc>
        <w:tc>
          <w:tcPr>
            <w:tcW w:type="dxa" w:w="6236"/>
            <w:vAlign w:val="center"/>
          </w:tcPr>
          <w:p>
            <w:r>
              <w:rPr>
                <w:sz w:val="18"/>
              </w:rPr>
              <w:t>22 February 2024</w:t>
            </w:r>
          </w:p>
        </w:tc>
      </w:tr>
      <w:tr>
        <w:tc>
          <w:tcPr>
            <w:tcW w:type="dxa" w:w="3118"/>
            <w:shd w:val="clear" w:color="auto" w:fill="DCE6F1"/>
            <w:vAlign w:val="center"/>
          </w:tcPr>
          <w:p>
            <w:r>
              <w:rPr>
                <w:b/>
                <w:sz w:val="18"/>
              </w:rPr>
              <w:t>Next Review</w:t>
            </w:r>
          </w:p>
        </w:tc>
        <w:tc>
          <w:tcPr>
            <w:tcW w:type="dxa" w:w="6236"/>
            <w:vAlign w:val="center"/>
          </w:tcPr>
          <w:p>
            <w:r>
              <w:rPr>
                <w:sz w:val="18"/>
              </w:rPr>
              <w:t>22 February 2026</w:t>
            </w:r>
          </w:p>
        </w:tc>
      </w:tr>
    </w:tbl>
    <w:p/>
    <w:p>
      <w:pPr>
        <w:pStyle w:val="Heading1"/>
      </w:pPr>
      <w:r>
        <w:rPr>
          <w:color w:val="1F497D"/>
        </w:rPr>
        <w:t>1.  OVERVIEW</w:t>
      </w:r>
    </w:p>
    <w:p>
      <w:r>
        <w:rPr>
          <w:b w:val="0"/>
          <w:i w:val="0"/>
          <w:sz w:val="20"/>
        </w:rPr>
        <w:t>Swan Valley Almonds is a registered export establishment located at 15 Great Northern Highway, Middle Swan WA 6056, WA. The establishment holds RE Number RE-WA-2021-0099 and is registered to handle and export Citrus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50×22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CS1</w:t>
            </w:r>
          </w:p>
        </w:tc>
        <w:tc>
          <w:tcPr>
            <w:tcW w:type="dxa" w:w="3118"/>
            <w:shd w:val="clear" w:color="auto" w:fill="F2F2F2"/>
            <w:vAlign w:val="center"/>
          </w:tcPr>
          <w:p>
            <w:r>
              <w:rPr>
                <w:sz w:val="18"/>
              </w:rPr>
              <w:t>Cool Store 1</w:t>
            </w:r>
          </w:p>
        </w:tc>
        <w:tc>
          <w:tcPr>
            <w:tcW w:type="dxa" w:w="1587"/>
            <w:shd w:val="clear" w:color="auto" w:fill="F2F2F2"/>
            <w:vAlign w:val="center"/>
          </w:tcPr>
          <w:p>
            <w:r>
              <w:rPr>
                <w:sz w:val="18"/>
              </w:rPr>
              <w:t>22×14 m</w:t>
            </w:r>
          </w:p>
        </w:tc>
        <w:tc>
          <w:tcPr>
            <w:tcW w:type="dxa" w:w="1984"/>
            <w:shd w:val="clear" w:color="auto" w:fill="F2F2F2"/>
            <w:vAlign w:val="center"/>
          </w:tcPr>
          <w:p>
            <w:r>
              <w:rPr>
                <w:sz w:val="18"/>
              </w:rPr>
              <w:t>Insulated panel, R410A refrigeration</w:t>
            </w:r>
          </w:p>
        </w:tc>
        <w:tc>
          <w:tcPr>
            <w:tcW w:type="dxa" w:w="2381"/>
            <w:shd w:val="clear" w:color="auto" w:fill="F2F2F2"/>
            <w:vAlign w:val="center"/>
          </w:tcPr>
          <w:p>
            <w:r>
              <w:rPr>
                <w:sz w:val="18"/>
              </w:rPr>
              <w:t>East of PH</w:t>
            </w:r>
          </w:p>
        </w:tc>
      </w:tr>
      <w:tr>
        <w:tc>
          <w:tcPr>
            <w:tcW w:type="dxa" w:w="850"/>
            <w:shd w:val="clear" w:color="auto" w:fill="FFFFFF"/>
            <w:vAlign w:val="center"/>
          </w:tcPr>
          <w:p>
            <w:r>
              <w:rPr>
                <w:sz w:val="18"/>
              </w:rPr>
              <w:t>CS2</w:t>
            </w:r>
          </w:p>
        </w:tc>
        <w:tc>
          <w:tcPr>
            <w:tcW w:type="dxa" w:w="3118"/>
            <w:shd w:val="clear" w:color="auto" w:fill="FFFFFF"/>
            <w:vAlign w:val="center"/>
          </w:tcPr>
          <w:p>
            <w:r>
              <w:rPr>
                <w:sz w:val="18"/>
              </w:rPr>
              <w:t>Cool Store 2</w:t>
            </w:r>
          </w:p>
        </w:tc>
        <w:tc>
          <w:tcPr>
            <w:tcW w:type="dxa" w:w="1587"/>
            <w:shd w:val="clear" w:color="auto" w:fill="FFFFFF"/>
            <w:vAlign w:val="center"/>
          </w:tcPr>
          <w:p>
            <w:r>
              <w:rPr>
                <w:sz w:val="18"/>
              </w:rPr>
              <w:t>22×14 m</w:t>
            </w:r>
          </w:p>
        </w:tc>
        <w:tc>
          <w:tcPr>
            <w:tcW w:type="dxa" w:w="1984"/>
            <w:shd w:val="clear" w:color="auto" w:fill="FFFFFF"/>
            <w:vAlign w:val="center"/>
          </w:tcPr>
          <w:p>
            <w:r>
              <w:rPr>
                <w:sz w:val="18"/>
              </w:rPr>
              <w:t>Insulated panel, R410A refrigeration</w:t>
            </w:r>
          </w:p>
        </w:tc>
        <w:tc>
          <w:tcPr>
            <w:tcW w:type="dxa" w:w="2381"/>
            <w:shd w:val="clear" w:color="auto" w:fill="FFFFFF"/>
            <w:vAlign w:val="center"/>
          </w:tcPr>
          <w:p>
            <w:r>
              <w:rPr>
                <w:sz w:val="18"/>
              </w:rPr>
              <w:t>East of CS1</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Metal detector</w:t>
            </w:r>
          </w:p>
        </w:tc>
        <w:tc>
          <w:tcPr>
            <w:tcW w:type="dxa" w:w="1984"/>
            <w:shd w:val="clear" w:color="auto" w:fill="FFFFFF"/>
            <w:vAlign w:val="center"/>
          </w:tcPr>
          <w:p>
            <w:r>
              <w:rPr>
                <w:sz w:val="18"/>
              </w:rPr>
              <w:t>CCP inline</w:t>
            </w:r>
          </w:p>
        </w:tc>
        <w:tc>
          <w:tcPr>
            <w:tcW w:type="dxa" w:w="4252"/>
            <w:shd w:val="clear" w:color="auto" w:fill="FFFFFF"/>
            <w:vAlign w:val="center"/>
          </w:tcPr>
          <w:p>
            <w:r>
              <w:rPr>
                <w:sz w:val="18"/>
              </w:rPr>
              <w:t>Food safety — export compliance</w:t>
            </w:r>
          </w:p>
        </w:tc>
      </w:tr>
      <w:tr>
        <w:tc>
          <w:tcPr>
            <w:tcW w:type="dxa" w:w="3685"/>
            <w:shd w:val="clear" w:color="auto" w:fill="F2F2F2"/>
            <w:vAlign w:val="center"/>
          </w:tcPr>
          <w:p>
            <w:r>
              <w:rPr>
                <w:sz w:val="18"/>
              </w:rPr>
              <w:t>Weigh-price labeller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Consumer pack verification</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Citrus.</w:t>
      </w:r>
    </w:p>
    <w:p>
      <w:pPr>
        <w:pStyle w:val="Heading2"/>
      </w:pPr>
      <w:r>
        <w:t>4.2  Lighting (C2)</w:t>
      </w:r>
    </w:p>
    <w:p>
      <w:r>
        <w:rPr>
          <w:b w:val="0"/>
          <w:i w:val="0"/>
          <w:sz w:val="20"/>
        </w:rPr>
        <w:t>High-efficiency LED battens throughout: 570 lux packing hall, 440 lux cool store entry, 418 lux dispatch bay. Sensor-activated step-lighting along conveyor access walkways. All fittings shatterproof-sleeved, IP54 rated minimum.</w:t>
      </w:r>
    </w:p>
    <w:p>
      <w:pPr>
        <w:pStyle w:val="Heading2"/>
      </w:pPr>
      <w:r>
        <w:t>4.3  Handwashing and Toilet Facilities (C3)</w:t>
      </w:r>
    </w:p>
    <w:p>
      <w:r>
        <w:rPr>
          <w:b w:val="0"/>
          <w:i w:val="0"/>
          <w:sz w:val="20"/>
        </w:rPr>
        <w:t>Purpose-built amenities: 3 toilets, 3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(WM-SOP-111, version 2.1,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8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March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WA Power 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AUTHORIWATION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Maria Nguyen</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22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