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28"/>
        </w:rPr>
        <w:t>REGISTERED ESTABLISHMENT</w:t>
        <w:br/>
        <w:t>EXPORT REGISTRATION RECORD</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RE Number</w:t>
            </w:r>
          </w:p>
        </w:tc>
        <w:tc>
          <w:tcPr>
            <w:tcW w:type="dxa" w:w="5669"/>
          </w:tcPr>
          <w:p>
            <w:r>
              <w:rPr>
                <w:sz w:val="20"/>
              </w:rPr>
              <w:t>RE-WA-2021-0133</w:t>
            </w:r>
          </w:p>
        </w:tc>
      </w:tr>
      <w:tr>
        <w:tc>
          <w:tcPr>
            <w:tcW w:type="dxa" w:w="2835"/>
            <w:shd w:val="clear" w:color="auto" w:fill="DCE6F1"/>
          </w:tcPr>
          <w:p>
            <w:r>
              <w:rPr>
                <w:b/>
                <w:sz w:val="20"/>
              </w:rPr>
              <w:t>Application Type</w:t>
            </w:r>
          </w:p>
        </w:tc>
        <w:tc>
          <w:tcPr>
            <w:tcW w:type="dxa" w:w="5669"/>
          </w:tcPr>
          <w:p>
            <w:r>
              <w:rPr>
                <w:sz w:val="20"/>
              </w:rPr>
              <w:t>Renewal</w:t>
            </w:r>
          </w:p>
        </w:tc>
      </w:tr>
      <w:tr>
        <w:tc>
          <w:tcPr>
            <w:tcW w:type="dxa" w:w="2835"/>
            <w:shd w:val="clear" w:color="auto" w:fill="DCE6F1"/>
          </w:tcPr>
          <w:p>
            <w:r>
              <w:rPr>
                <w:b/>
                <w:sz w:val="20"/>
              </w:rPr>
              <w:t>Date of Record</w:t>
            </w:r>
          </w:p>
        </w:tc>
        <w:tc>
          <w:tcPr>
            <w:tcW w:type="dxa" w:w="5669"/>
          </w:tcPr>
          <w:p>
            <w:r>
              <w:rPr>
                <w:sz w:val="20"/>
              </w:rPr>
              <w:t>17 March 2025</w:t>
            </w:r>
          </w:p>
        </w:tc>
      </w:tr>
      <w:tr>
        <w:tc>
          <w:tcPr>
            <w:tcW w:type="dxa" w:w="2835"/>
            <w:shd w:val="clear" w:color="auto" w:fill="DCE6F1"/>
          </w:tcPr>
          <w:p>
            <w:r>
              <w:rPr>
                <w:b/>
                <w:sz w:val="20"/>
              </w:rPr>
              <w:t>Commodity</w:t>
            </w:r>
          </w:p>
        </w:tc>
        <w:tc>
          <w:tcPr>
            <w:tcW w:type="dxa" w:w="5669"/>
          </w:tcPr>
          <w:p>
            <w:r>
              <w:rPr>
                <w:sz w:val="20"/>
              </w:rPr>
              <w:t>Wheat</w:t>
            </w:r>
          </w:p>
        </w:tc>
      </w:tr>
      <w:tr>
        <w:tc>
          <w:tcPr>
            <w:tcW w:type="dxa" w:w="2835"/>
            <w:shd w:val="clear" w:color="auto" w:fill="DCE6F1"/>
          </w:tcPr>
          <w:p>
            <w:r>
              <w:rPr>
                <w:b/>
                <w:sz w:val="20"/>
              </w:rPr>
              <w:t>Destination</w:t>
            </w:r>
          </w:p>
        </w:tc>
        <w:tc>
          <w:tcPr>
            <w:tcW w:type="dxa" w:w="5669"/>
          </w:tcPr>
          <w:p>
            <w:r>
              <w:rPr>
                <w:sz w:val="20"/>
              </w:rPr>
              <w:t>Japan</w:t>
            </w:r>
          </w:p>
        </w:tc>
      </w:tr>
      <w:tr>
        <w:tc>
          <w:tcPr>
            <w:tcW w:type="dxa" w:w="2835"/>
            <w:shd w:val="clear" w:color="auto" w:fill="DCE6F1"/>
          </w:tcPr>
          <w:p>
            <w:r>
              <w:rPr>
                <w:b/>
                <w:sz w:val="20"/>
              </w:rPr>
              <w:t>ABN</w:t>
            </w:r>
          </w:p>
        </w:tc>
        <w:tc>
          <w:tcPr>
            <w:tcW w:type="dxa" w:w="5669"/>
          </w:tcPr>
          <w:p>
            <w:r>
              <w:rPr>
                <w:sz w:val="20"/>
              </w:rPr>
              <w:t>37 890 123 457</w:t>
            </w:r>
          </w:p>
        </w:tc>
      </w:tr>
    </w:tbl>
    <w:p/>
    <w:p>
      <w:pPr>
        <w:pStyle w:val="Heading1"/>
      </w:pPr>
      <w:r>
        <w:rPr>
          <w:color w:val="1F497D"/>
          <w:sz w:val="26"/>
        </w:rPr>
        <w:t>1. Establishment Details</w:t>
      </w:r>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Business Name</w:t>
            </w:r>
          </w:p>
        </w:tc>
        <w:tc>
          <w:tcPr>
            <w:tcW w:type="dxa" w:w="5669"/>
          </w:tcPr>
          <w:p>
            <w:r>
              <w:rPr>
                <w:sz w:val="20"/>
              </w:rPr>
              <w:t>Avon Valley Exports Trust</w:t>
            </w:r>
          </w:p>
        </w:tc>
      </w:tr>
      <w:tr>
        <w:tc>
          <w:tcPr>
            <w:tcW w:type="dxa" w:w="2835"/>
            <w:shd w:val="clear" w:color="auto" w:fill="DCE6F1"/>
          </w:tcPr>
          <w:p>
            <w:r>
              <w:rPr>
                <w:b/>
                <w:sz w:val="20"/>
              </w:rPr>
              <w:t>Trading Name</w:t>
            </w:r>
          </w:p>
        </w:tc>
        <w:tc>
          <w:tcPr>
            <w:tcW w:type="dxa" w:w="5669"/>
          </w:tcPr>
          <w:p>
            <w:r>
              <w:rPr>
                <w:sz w:val="20"/>
              </w:rPr>
              <w:t>Avon Valley Exports Trust</w:t>
            </w:r>
          </w:p>
        </w:tc>
      </w:tr>
      <w:tr>
        <w:tc>
          <w:tcPr>
            <w:tcW w:type="dxa" w:w="2835"/>
            <w:shd w:val="clear" w:color="auto" w:fill="DCE6F1"/>
          </w:tcPr>
          <w:p>
            <w:r>
              <w:rPr>
                <w:b/>
                <w:sz w:val="20"/>
              </w:rPr>
              <w:t>Address</w:t>
            </w:r>
          </w:p>
        </w:tc>
        <w:tc>
          <w:tcPr>
            <w:tcW w:type="dxa" w:w="5669"/>
          </w:tcPr>
          <w:p>
            <w:r>
              <w:rPr>
                <w:sz w:val="20"/>
              </w:rPr>
              <w:t>22 Great Eastern Highway, Northam WA 6401</w:t>
            </w:r>
          </w:p>
        </w:tc>
      </w:tr>
      <w:tr>
        <w:tc>
          <w:tcPr>
            <w:tcW w:type="dxa" w:w="2835"/>
            <w:shd w:val="clear" w:color="auto" w:fill="DCE6F1"/>
          </w:tcPr>
          <w:p>
            <w:r>
              <w:rPr>
                <w:b/>
                <w:sz w:val="20"/>
              </w:rPr>
              <w:t>State/Territory</w:t>
            </w:r>
          </w:p>
        </w:tc>
        <w:tc>
          <w:tcPr>
            <w:tcW w:type="dxa" w:w="5669"/>
          </w:tcPr>
          <w:p>
            <w:r>
              <w:rPr>
                <w:sz w:val="20"/>
              </w:rPr>
              <w:t>WA</w:t>
            </w:r>
          </w:p>
        </w:tc>
      </w:tr>
      <w:tr>
        <w:tc>
          <w:tcPr>
            <w:tcW w:type="dxa" w:w="2835"/>
            <w:shd w:val="clear" w:color="auto" w:fill="DCE6F1"/>
          </w:tcPr>
          <w:p>
            <w:r>
              <w:rPr>
                <w:b/>
                <w:sz w:val="20"/>
              </w:rPr>
              <w:t>Contact Person</w:t>
            </w:r>
          </w:p>
        </w:tc>
        <w:tc>
          <w:tcPr>
            <w:tcW w:type="dxa" w:w="5669"/>
          </w:tcPr>
          <w:p>
            <w:r>
              <w:rPr>
                <w:sz w:val="20"/>
              </w:rPr>
              <w:t>Gina Beaumont</w:t>
            </w:r>
          </w:p>
        </w:tc>
      </w:tr>
      <w:tr>
        <w:tc>
          <w:tcPr>
            <w:tcW w:type="dxa" w:w="2835"/>
            <w:shd w:val="clear" w:color="auto" w:fill="DCE6F1"/>
          </w:tcPr>
          <w:p>
            <w:r>
              <w:rPr>
                <w:b/>
                <w:sz w:val="20"/>
              </w:rPr>
              <w:t>Business Structure</w:t>
            </w:r>
          </w:p>
        </w:tc>
        <w:tc>
          <w:tcPr>
            <w:tcW w:type="dxa" w:w="5669"/>
          </w:tcPr>
          <w:p>
            <w:r>
              <w:rPr>
                <w:sz w:val="20"/>
              </w:rPr>
              <w:t>Family trust</w:t>
            </w:r>
          </w:p>
        </w:tc>
      </w:tr>
      <w:tr>
        <w:tc>
          <w:tcPr>
            <w:tcW w:type="dxa" w:w="2835"/>
            <w:shd w:val="clear" w:color="auto" w:fill="DCE6F1"/>
          </w:tcPr>
          <w:p>
            <w:r>
              <w:rPr>
                <w:b/>
                <w:sz w:val="20"/>
              </w:rPr>
              <w:t>Registration Number</w:t>
            </w:r>
          </w:p>
        </w:tc>
        <w:tc>
          <w:tcPr>
            <w:tcW w:type="dxa" w:w="5669"/>
          </w:tcPr>
          <w:p>
            <w:r>
              <w:rPr>
                <w:sz w:val="20"/>
              </w:rPr>
              <w:t>RE-WA-2021-0133</w:t>
            </w:r>
          </w:p>
        </w:tc>
      </w:tr>
      <w:tr>
        <w:tc>
          <w:tcPr>
            <w:tcW w:type="dxa" w:w="2835"/>
            <w:shd w:val="clear" w:color="auto" w:fill="DCE6F1"/>
          </w:tcPr>
          <w:p>
            <w:r>
              <w:rPr>
                <w:b/>
                <w:sz w:val="20"/>
              </w:rPr>
              <w:t>Registration Expiry</w:t>
            </w:r>
          </w:p>
        </w:tc>
        <w:tc>
          <w:tcPr>
            <w:tcW w:type="dxa" w:w="5669"/>
          </w:tcPr>
          <w:p>
            <w:r>
              <w:rPr>
                <w:sz w:val="20"/>
              </w:rPr>
              <w:t>29 June 2024</w:t>
            </w:r>
          </w:p>
        </w:tc>
      </w:tr>
    </w:tbl>
    <w:p/>
    <w:p>
      <w:pPr>
        <w:pStyle w:val="Heading1"/>
      </w:pPr>
      <w:r>
        <w:rPr>
          <w:color w:val="1F497D"/>
          <w:sz w:val="26"/>
        </w:rPr>
        <w:t>2. Registered Export Operations</w:t>
      </w:r>
    </w:p>
    <w:p>
      <w:r>
        <w:rPr>
          <w:sz w:val="20"/>
        </w:rPr>
        <w:t>This establishment is registered to conduct export operations for wheat (grain). All export activities carried out at this premises are within the registered scope as approved by the Department of Agriculture, Fisheries and Forestry (DAFF).</w:t>
      </w:r>
    </w:p>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497D"/>
          </w:tcPr>
          <w:p>
            <w:r>
              <w:rPr>
                <w:b/>
                <w:color w:val="FFFFFF"/>
                <w:sz w:val="20"/>
              </w:rPr>
              <w:t>Activity</w:t>
            </w:r>
          </w:p>
        </w:tc>
        <w:tc>
          <w:tcPr>
            <w:tcW w:type="dxa" w:w="3135"/>
            <w:shd w:val="clear" w:color="auto" w:fill="1F497D"/>
          </w:tcPr>
          <w:p>
            <w:r>
              <w:rPr>
                <w:b/>
                <w:color w:val="FFFFFF"/>
                <w:sz w:val="20"/>
              </w:rPr>
              <w:t>Description</w:t>
            </w:r>
          </w:p>
        </w:tc>
        <w:tc>
          <w:tcPr>
            <w:tcW w:type="dxa" w:w="3135"/>
            <w:shd w:val="clear" w:color="auto" w:fill="1F497D"/>
          </w:tcPr>
          <w:p>
            <w:r>
              <w:rPr>
                <w:b/>
                <w:color w:val="FFFFFF"/>
                <w:sz w:val="20"/>
              </w:rPr>
              <w:t>Scope Status</w:t>
            </w:r>
          </w:p>
        </w:tc>
      </w:tr>
      <w:tr>
        <w:tc>
          <w:tcPr>
            <w:tcW w:type="dxa" w:w="3135"/>
            <w:shd w:val="clear" w:color="auto" w:fill="F2F2F2"/>
          </w:tcPr>
          <w:p>
            <w:r>
              <w:rPr>
                <w:sz w:val="20"/>
              </w:rPr>
              <w:t>Wheat receival</w:t>
            </w:r>
          </w:p>
        </w:tc>
        <w:tc>
          <w:tcPr>
            <w:tcW w:type="dxa" w:w="3135"/>
            <w:shd w:val="clear" w:color="auto" w:fill="F2F2F2"/>
          </w:tcPr>
          <w:p>
            <w:r>
              <w:rPr>
                <w:sz w:val="20"/>
              </w:rPr>
              <w:t>Intake of bulk and bagged wheat from registered growers</w:t>
            </w:r>
          </w:p>
        </w:tc>
        <w:tc>
          <w:tcPr>
            <w:tcW w:type="dxa" w:w="3135"/>
            <w:shd w:val="clear" w:color="auto" w:fill="F2F2F2"/>
          </w:tcPr>
          <w:p>
            <w:r>
              <w:rPr>
                <w:sz w:val="20"/>
              </w:rPr>
              <w:t>Within scope</w:t>
            </w:r>
          </w:p>
        </w:tc>
      </w:tr>
      <w:tr>
        <w:tc>
          <w:tcPr>
            <w:tcW w:type="dxa" w:w="3135"/>
          </w:tcPr>
          <w:p>
            <w:r>
              <w:rPr>
                <w:sz w:val="20"/>
              </w:rPr>
              <w:t>Cleaning and grading</w:t>
            </w:r>
          </w:p>
        </w:tc>
        <w:tc>
          <w:tcPr>
            <w:tcW w:type="dxa" w:w="3135"/>
          </w:tcPr>
          <w:p>
            <w:r>
              <w:rPr>
                <w:sz w:val="20"/>
              </w:rPr>
              <w:t>Processing of wheat to export specification</w:t>
            </w:r>
          </w:p>
        </w:tc>
        <w:tc>
          <w:tcPr>
            <w:tcW w:type="dxa" w:w="3135"/>
          </w:tcPr>
          <w:p>
            <w:r>
              <w:rPr>
                <w:sz w:val="20"/>
              </w:rPr>
              <w:t>Within scope</w:t>
            </w:r>
          </w:p>
        </w:tc>
      </w:tr>
      <w:tr>
        <w:tc>
          <w:tcPr>
            <w:tcW w:type="dxa" w:w="3135"/>
            <w:shd w:val="clear" w:color="auto" w:fill="F2F2F2"/>
          </w:tcPr>
          <w:p>
            <w:r>
              <w:rPr>
                <w:sz w:val="20"/>
              </w:rPr>
              <w:t>Storage</w:t>
            </w:r>
          </w:p>
        </w:tc>
        <w:tc>
          <w:tcPr>
            <w:tcW w:type="dxa" w:w="3135"/>
            <w:shd w:val="clear" w:color="auto" w:fill="F2F2F2"/>
          </w:tcPr>
          <w:p>
            <w:r>
              <w:rPr>
                <w:sz w:val="20"/>
              </w:rPr>
              <w:t>Storage of wheat in registered receival and storage areas</w:t>
            </w:r>
          </w:p>
        </w:tc>
        <w:tc>
          <w:tcPr>
            <w:tcW w:type="dxa" w:w="3135"/>
            <w:shd w:val="clear" w:color="auto" w:fill="F2F2F2"/>
          </w:tcPr>
          <w:p>
            <w:r>
              <w:rPr>
                <w:sz w:val="20"/>
              </w:rPr>
              <w:t>Within scope</w:t>
            </w:r>
          </w:p>
        </w:tc>
      </w:tr>
      <w:tr>
        <w:tc>
          <w:tcPr>
            <w:tcW w:type="dxa" w:w="3135"/>
          </w:tcPr>
          <w:p>
            <w:r>
              <w:rPr>
                <w:sz w:val="20"/>
              </w:rPr>
              <w:t>Sampling</w:t>
            </w:r>
          </w:p>
        </w:tc>
        <w:tc>
          <w:tcPr>
            <w:tcW w:type="dxa" w:w="3135"/>
          </w:tcPr>
          <w:p>
            <w:r>
              <w:rPr>
                <w:sz w:val="20"/>
              </w:rPr>
              <w:t>Pre-export sampling for quality and phytosanitary inspection</w:t>
            </w:r>
          </w:p>
        </w:tc>
        <w:tc>
          <w:tcPr>
            <w:tcW w:type="dxa" w:w="3135"/>
          </w:tcPr>
          <w:p>
            <w:r>
              <w:rPr>
                <w:sz w:val="20"/>
              </w:rPr>
              <w:t>Within scope</w:t>
            </w:r>
          </w:p>
        </w:tc>
      </w:tr>
      <w:tr>
        <w:tc>
          <w:tcPr>
            <w:tcW w:type="dxa" w:w="3135"/>
            <w:shd w:val="clear" w:color="auto" w:fill="F2F2F2"/>
          </w:tcPr>
          <w:p>
            <w:r>
              <w:rPr>
                <w:sz w:val="20"/>
              </w:rPr>
              <w:t>Dispatch</w:t>
            </w:r>
          </w:p>
        </w:tc>
        <w:tc>
          <w:tcPr>
            <w:tcW w:type="dxa" w:w="3135"/>
            <w:shd w:val="clear" w:color="auto" w:fill="F2F2F2"/>
          </w:tcPr>
          <w:p>
            <w:r>
              <w:rPr>
                <w:sz w:val="20"/>
              </w:rPr>
              <w:t>Loading and dispatch of certified consignments</w:t>
            </w:r>
          </w:p>
        </w:tc>
        <w:tc>
          <w:tcPr>
            <w:tcW w:type="dxa" w:w="3135"/>
            <w:shd w:val="clear" w:color="auto" w:fill="F2F2F2"/>
          </w:tcPr>
          <w:p>
            <w:r>
              <w:rPr>
                <w:sz w:val="20"/>
              </w:rPr>
              <w:t>Within scope</w:t>
            </w:r>
          </w:p>
        </w:tc>
      </w:tr>
    </w:tbl>
    <w:p/>
    <w:p>
      <w:pPr>
        <w:pStyle w:val="Heading1"/>
      </w:pPr>
      <w:r>
        <w:rPr>
          <w:color w:val="1F497D"/>
          <w:sz w:val="26"/>
        </w:rPr>
        <w:t>3. Registration Status</w:t>
      </w:r>
    </w:p>
    <w:p>
      <w:r>
        <w:rPr>
          <w:sz w:val="20"/>
        </w:rPr>
        <w:t>The establishment was registered as RE-WA-2021-0133 from 30 June 2021. The registration period lapsed on 30 June 2024 and a renewal application has not yet been lodged. Export activities have continued on the basis of the previous registration certificate.</w:t>
      </w:r>
    </w:p>
    <w:p/>
    <w:p>
      <w:pPr>
        <w:pStyle w:val="Heading1"/>
      </w:pPr>
      <w:r>
        <w:rPr>
          <w:color w:val="1F497D"/>
          <w:sz w:val="26"/>
        </w:rPr>
        <w:t>4. Fit and Proper Person</w:t>
      </w:r>
    </w:p>
    <w:p>
      <w:r>
        <w:rPr>
          <w:sz w:val="20"/>
        </w:rPr>
        <w:t>Gina Beaumont is the nominated responsible person for this registration. The establishment has been under continuous management since 2006. The entity is a family trust registered with ASIC. The responsible person has completed the DAFF Export Compliance Fundamentals training and holds current industry accreditation.</w:t>
      </w:r>
    </w:p>
    <w:p/>
    <w:p>
      <w:pPr>
        <w:pStyle w:val="Heading1"/>
      </w:pPr>
      <w:r>
        <w:rPr>
          <w:color w:val="1F497D"/>
          <w:sz w:val="26"/>
        </w:rPr>
        <w:t>5. Registered Premises — Area Description</w:t>
      </w:r>
    </w:p>
    <w:p>
      <w:r>
        <w:rPr>
          <w:sz w:val="20"/>
        </w:rPr>
        <w:t>The registered premises comprise Lot 41 on Plan DP 226584, located at 22 Great Eastern Highway, Northam WA 6401. The total registered area is 68.1 hectares. The registered boundary is delineated on the attached site plan (Appendix A) and includes all receival, storage, processing and dispatch infrastructure. Adjoining land parcels and access roads are excluded from the registered area.</w:t>
      </w:r>
    </w:p>
    <w:p/>
    <w:p>
      <w:pPr>
        <w:pStyle w:val="Heading1"/>
      </w:pPr>
      <w:r>
        <w:rPr>
          <w:color w:val="1F497D"/>
          <w:sz w:val="26"/>
        </w:rPr>
        <w:t>6. Features, Facilities and Adjoining Sites</w:t>
      </w:r>
    </w:p>
    <w:p>
      <w:pPr>
        <w:pStyle w:val="Heading2"/>
      </w:pPr>
      <w:r>
        <w:rPr>
          <w:color w:val="1F497D"/>
          <w:sz w:val="22"/>
        </w:rPr>
        <w:t>6.1 Buildings and Structures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Building / Structure</w:t>
            </w:r>
          </w:p>
        </w:tc>
        <w:tc>
          <w:tcPr>
            <w:tcW w:type="dxa" w:w="4703"/>
            <w:shd w:val="clear" w:color="auto" w:fill="1F497D"/>
          </w:tcPr>
          <w:p>
            <w:r>
              <w:rPr>
                <w:b/>
                <w:color w:val="FFFFFF"/>
                <w:sz w:val="20"/>
              </w:rPr>
              <w:t>Description</w:t>
            </w:r>
          </w:p>
        </w:tc>
      </w:tr>
      <w:tr>
        <w:tc>
          <w:tcPr>
            <w:tcW w:type="dxa" w:w="4703"/>
            <w:shd w:val="clear" w:color="auto" w:fill="F2F2F2"/>
          </w:tcPr>
          <w:p>
            <w:r>
              <w:rPr>
                <w:sz w:val="20"/>
              </w:rPr>
              <w:t>Main receival shed</w:t>
            </w:r>
          </w:p>
        </w:tc>
        <w:tc>
          <w:tcPr>
            <w:tcW w:type="dxa" w:w="4703"/>
            <w:shd w:val="clear" w:color="auto" w:fill="F2F2F2"/>
          </w:tcPr>
          <w:p>
            <w:r>
              <w:rPr>
                <w:sz w:val="20"/>
              </w:rPr>
              <w:t>Steel frame, concrete floor, roller-door access, 1,200 t capacity</w:t>
            </w:r>
          </w:p>
        </w:tc>
      </w:tr>
      <w:tr>
        <w:tc>
          <w:tcPr>
            <w:tcW w:type="dxa" w:w="4703"/>
          </w:tcPr>
          <w:p>
            <w:r>
              <w:rPr>
                <w:sz w:val="20"/>
              </w:rPr>
              <w:t>Silo complex (×4)</w:t>
            </w:r>
          </w:p>
        </w:tc>
        <w:tc>
          <w:tcPr>
            <w:tcW w:type="dxa" w:w="4703"/>
          </w:tcPr>
          <w:p>
            <w:r>
              <w:rPr>
                <w:sz w:val="20"/>
              </w:rPr>
              <w:t>Corrugated steel upright silos, 500 t each, aeration fitted</w:t>
            </w:r>
          </w:p>
        </w:tc>
      </w:tr>
      <w:tr>
        <w:tc>
          <w:tcPr>
            <w:tcW w:type="dxa" w:w="4703"/>
            <w:shd w:val="clear" w:color="auto" w:fill="F2F2F2"/>
          </w:tcPr>
          <w:p>
            <w:r>
              <w:rPr>
                <w:sz w:val="20"/>
              </w:rPr>
              <w:t>Machinery shed</w:t>
            </w:r>
          </w:p>
        </w:tc>
        <w:tc>
          <w:tcPr>
            <w:tcW w:type="dxa" w:w="4703"/>
            <w:shd w:val="clear" w:color="auto" w:fill="F2F2F2"/>
          </w:tcPr>
          <w:p>
            <w:r>
              <w:rPr>
                <w:sz w:val="20"/>
              </w:rPr>
              <w:t>Steel frame, open-front, houses headers and augers</w:t>
            </w:r>
          </w:p>
        </w:tc>
      </w:tr>
      <w:tr>
        <w:tc>
          <w:tcPr>
            <w:tcW w:type="dxa" w:w="4703"/>
          </w:tcPr>
          <w:p>
            <w:r>
              <w:rPr>
                <w:sz w:val="20"/>
              </w:rPr>
              <w:t>Chemical storage room</w:t>
            </w:r>
          </w:p>
        </w:tc>
        <w:tc>
          <w:tcPr>
            <w:tcW w:type="dxa" w:w="4703"/>
          </w:tcPr>
          <w:p>
            <w:r>
              <w:rPr>
                <w:sz w:val="20"/>
              </w:rPr>
              <w:t>Lockable, ventilated, bunded, separate from grain storage</w:t>
            </w:r>
          </w:p>
        </w:tc>
      </w:tr>
      <w:tr>
        <w:tc>
          <w:tcPr>
            <w:tcW w:type="dxa" w:w="4703"/>
            <w:shd w:val="clear" w:color="auto" w:fill="F2F2F2"/>
          </w:tcPr>
          <w:p>
            <w:r>
              <w:rPr>
                <w:sz w:val="20"/>
              </w:rPr>
              <w:t>Office and amenities</w:t>
            </w:r>
          </w:p>
        </w:tc>
        <w:tc>
          <w:tcPr>
            <w:tcW w:type="dxa" w:w="4703"/>
            <w:shd w:val="clear" w:color="auto" w:fill="F2F2F2"/>
          </w:tcPr>
          <w:p>
            <w:r>
              <w:rPr>
                <w:sz w:val="20"/>
              </w:rPr>
              <w:t>Portable cabin — office, toilet, first aid kit</w:t>
            </w:r>
          </w:p>
        </w:tc>
      </w:tr>
    </w:tbl>
    <w:p/>
    <w:p>
      <w:pPr>
        <w:pStyle w:val="Heading2"/>
      </w:pPr>
      <w:r>
        <w:rPr>
          <w:color w:val="1F497D"/>
          <w:sz w:val="22"/>
        </w:rPr>
        <w:t>6.2 Services and Utilities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Service</w:t>
            </w:r>
          </w:p>
        </w:tc>
        <w:tc>
          <w:tcPr>
            <w:tcW w:type="dxa" w:w="4703"/>
            <w:shd w:val="clear" w:color="auto" w:fill="1F497D"/>
          </w:tcPr>
          <w:p>
            <w:r>
              <w:rPr>
                <w:b/>
                <w:color w:val="FFFFFF"/>
                <w:sz w:val="20"/>
              </w:rPr>
              <w:t>Details</w:t>
            </w:r>
          </w:p>
        </w:tc>
      </w:tr>
      <w:tr>
        <w:tc>
          <w:tcPr>
            <w:tcW w:type="dxa" w:w="4703"/>
            <w:shd w:val="clear" w:color="auto" w:fill="F2F2F2"/>
          </w:tcPr>
          <w:p>
            <w:r>
              <w:rPr>
                <w:sz w:val="20"/>
              </w:rPr>
              <w:t>Electricity</w:t>
            </w:r>
          </w:p>
        </w:tc>
        <w:tc>
          <w:tcPr>
            <w:tcW w:type="dxa" w:w="4703"/>
            <w:shd w:val="clear" w:color="auto" w:fill="F2F2F2"/>
          </w:tcPr>
          <w:p>
            <w:r>
              <w:rPr>
                <w:sz w:val="20"/>
              </w:rPr>
              <w:t>Three-phase mains power, metered supply</w:t>
            </w:r>
          </w:p>
        </w:tc>
      </w:tr>
      <w:tr>
        <w:tc>
          <w:tcPr>
            <w:tcW w:type="dxa" w:w="4703"/>
          </w:tcPr>
          <w:p>
            <w:r>
              <w:rPr>
                <w:sz w:val="20"/>
              </w:rPr>
              <w:t>Water</w:t>
            </w:r>
          </w:p>
        </w:tc>
        <w:tc>
          <w:tcPr>
            <w:tcW w:type="dxa" w:w="4703"/>
          </w:tcPr>
          <w:p>
            <w:r>
              <w:rPr>
                <w:sz w:val="20"/>
              </w:rPr>
              <w:t>Mains connected; potable supply to amenities; tank water for dust suppression</w:t>
            </w:r>
          </w:p>
        </w:tc>
      </w:tr>
      <w:tr>
        <w:tc>
          <w:tcPr>
            <w:tcW w:type="dxa" w:w="4703"/>
            <w:shd w:val="clear" w:color="auto" w:fill="F2F2F2"/>
          </w:tcPr>
          <w:p>
            <w:r>
              <w:rPr>
                <w:sz w:val="20"/>
              </w:rPr>
              <w:t>Weighbridge</w:t>
            </w:r>
          </w:p>
        </w:tc>
        <w:tc>
          <w:tcPr>
            <w:tcW w:type="dxa" w:w="4703"/>
            <w:shd w:val="clear" w:color="auto" w:fill="F2F2F2"/>
          </w:tcPr>
          <w:p>
            <w:r>
              <w:rPr>
                <w:sz w:val="20"/>
              </w:rPr>
              <w:t>60 t capacity, calibrated annually, NATA-endorsed</w:t>
            </w:r>
          </w:p>
        </w:tc>
      </w:tr>
      <w:tr>
        <w:tc>
          <w:tcPr>
            <w:tcW w:type="dxa" w:w="4703"/>
          </w:tcPr>
          <w:p>
            <w:r>
              <w:rPr>
                <w:sz w:val="20"/>
              </w:rPr>
              <w:t>Drainage</w:t>
            </w:r>
          </w:p>
        </w:tc>
        <w:tc>
          <w:tcPr>
            <w:tcW w:type="dxa" w:w="4703"/>
          </w:tcPr>
          <w:p>
            <w:r>
              <w:rPr>
                <w:sz w:val="20"/>
              </w:rPr>
              <w:t>Concrete hardstand with perimeter drain to collection sump</w:t>
            </w:r>
          </w:p>
        </w:tc>
      </w:tr>
    </w:tbl>
    <w:p/>
    <w:p>
      <w:pPr>
        <w:pStyle w:val="Heading2"/>
      </w:pPr>
      <w:r>
        <w:rPr>
          <w:color w:val="1F497D"/>
          <w:sz w:val="22"/>
        </w:rPr>
        <w:t>6.3 Adjoining Sites</w:t>
      </w:r>
    </w:p>
    <w:p>
      <w:r>
        <w:rPr>
          <w:sz w:val="20"/>
        </w:rPr>
        <w:t>The registered premises adjoin: (north) sealed public road; (east) cropping paddocks under same ownership; (south) state forest reserve — no stock or chemical activities; (west) neighbour's mixed-farming property — grain growing, no spray operations within 200 m.</w:t>
      </w:r>
    </w:p>
    <w:p/>
    <w:p>
      <w:pPr>
        <w:pStyle w:val="Heading1"/>
      </w:pPr>
      <w:r>
        <w:rPr>
          <w:color w:val="1F497D"/>
          <w:sz w:val="26"/>
        </w:rPr>
        <w:t>7. Layout and Product Flow</w:t>
      </w:r>
    </w:p>
    <w:p>
      <w:r>
        <w:rPr>
          <w:sz w:val="20"/>
        </w:rPr>
        <w:t>A scaled site plan is attached at Appendix A. The plan shows the location of all receival, storage, processing and dispatch infrastructure, including silo positions, shed footprints, hardstand areas, weighbridge, access roads, and the designated export sampling point.</w:t>
        <w:br/>
        <w:br/>
        <w:t>Product flow: wheat is received at the intake pit (north hardstand), elevated to the main conveyor, and directed to either the silo complex or receival shed. Cleaned and graded product is transferred by auger to the outloading hopper for bulk dispatch. All product flow is contained within the registered area. Segregation from non-registered commodities is maintained by dedicated equipment and labelled storage zones.</w:t>
      </w:r>
    </w:p>
    <w:p/>
    <w:p>
      <w:pPr>
        <w:pStyle w:val="Heading1"/>
      </w:pPr>
      <w:r>
        <w:rPr>
          <w:color w:val="1F497D"/>
          <w:sz w:val="26"/>
        </w:rPr>
        <w:t>8. Construction, Equipment and Facilities</w:t>
      </w:r>
    </w:p>
    <w:p>
      <w:r>
        <w:rPr>
          <w:sz w:val="20"/>
        </w:rPr>
        <w:t>The establishment infrastructure is designed and maintained to support the export of wheat. Total storage capacity is approximately 8,000 tonnes. Structures are of steel-frame construction with concrete flooring throughout the grain-contact areas. Maintenance inspections are carried out annually and records held on site.</w:t>
      </w:r>
    </w:p>
    <w:p/>
    <w:p>
      <w:pPr>
        <w:pStyle w:val="Heading1"/>
      </w:pPr>
      <w:r>
        <w:rPr>
          <w:color w:val="1F497D"/>
          <w:sz w:val="26"/>
        </w:rPr>
        <w:t>9. Notification of Changes</w:t>
      </w:r>
    </w:p>
    <w:p>
      <w:r>
        <w:rPr>
          <w:sz w:val="20"/>
        </w:rPr>
        <w:t>No changes to the registered establishment name, address, ownership, management or trading name have occurred since the last registration renewal. Should any such changes occur, DAFF will be notified in writing within the required timeframe as per Rule 4-6 of the Export Control (Plants and Plant Products) Rules 2021.</w:t>
      </w:r>
    </w:p>
    <w:p/>
    <w:p>
      <w:pPr>
        <w:pStyle w:val="Heading1"/>
      </w:pPr>
      <w:r>
        <w:rPr>
          <w:color w:val="1F497D"/>
          <w:sz w:val="26"/>
        </w:rPr>
        <w:t>10. Alterations to Registered Premises</w:t>
      </w:r>
    </w:p>
    <w:p>
      <w:r>
        <w:rPr>
          <w:sz w:val="20"/>
        </w:rPr>
        <w:t>No structural alterations or additions to the registered premises have been carried out since the last registration approval. Any proposed alterations will be submitted to DAFF for approval prior to commencement of works, in accordance with Rule 4-5 of the Export Control (Plants and Plant Products) Rules 2021.</w:t>
      </w:r>
    </w:p>
    <w:p/>
    <w:p>
      <w:pPr>
        <w:pStyle w:val="Heading1"/>
      </w:pPr>
      <w:r>
        <w:rPr>
          <w:color w:val="1F497D"/>
          <w:sz w:val="26"/>
        </w:rPr>
        <w:t>11. Importing Country Requirements</w:t>
      </w:r>
    </w:p>
    <w:p>
      <w:r>
        <w:rPr>
          <w:sz w:val="20"/>
        </w:rPr>
        <w:t>The following requirements apply to export consignments destined for Japan:</w:t>
      </w:r>
    </w:p>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Requirement</w:t>
            </w:r>
          </w:p>
        </w:tc>
        <w:tc>
          <w:tcPr>
            <w:tcW w:type="dxa" w:w="4703"/>
            <w:shd w:val="clear" w:color="auto" w:fill="1F497D"/>
          </w:tcPr>
          <w:p>
            <w:r>
              <w:rPr>
                <w:b/>
                <w:color w:val="FFFFFF"/>
                <w:sz w:val="20"/>
              </w:rPr>
              <w:t>Details</w:t>
            </w:r>
          </w:p>
        </w:tc>
      </w:tr>
      <w:tr>
        <w:tc>
          <w:tcPr>
            <w:tcW w:type="dxa" w:w="4703"/>
            <w:shd w:val="clear" w:color="auto" w:fill="F2F2F2"/>
          </w:tcPr>
          <w:p>
            <w:r>
              <w:rPr>
                <w:sz w:val="20"/>
              </w:rPr>
              <w:t>Phytosanitary Certificate</w:t>
            </w:r>
          </w:p>
        </w:tc>
        <w:tc>
          <w:tcPr>
            <w:tcW w:type="dxa" w:w="4703"/>
            <w:shd w:val="clear" w:color="auto" w:fill="F2F2F2"/>
          </w:tcPr>
          <w:p>
            <w:r>
              <w:rPr>
                <w:sz w:val="20"/>
              </w:rPr>
              <w:t>PC required; declare freedom from stripe rust, Tilletia spp. and listed nematodes</w:t>
            </w:r>
          </w:p>
        </w:tc>
      </w:tr>
      <w:tr>
        <w:tc>
          <w:tcPr>
            <w:tcW w:type="dxa" w:w="4703"/>
          </w:tcPr>
          <w:p>
            <w:r>
              <w:rPr>
                <w:sz w:val="20"/>
              </w:rPr>
              <w:t>Residue Compliance</w:t>
            </w:r>
          </w:p>
        </w:tc>
        <w:tc>
          <w:tcPr>
            <w:tcW w:type="dxa" w:w="4703"/>
          </w:tcPr>
          <w:p>
            <w:r>
              <w:rPr>
                <w:sz w:val="20"/>
              </w:rPr>
              <w:t>Pesticide residues must comply with Japan's Positive List System</w:t>
            </w:r>
          </w:p>
        </w:tc>
      </w:tr>
      <w:tr>
        <w:tc>
          <w:tcPr>
            <w:tcW w:type="dxa" w:w="4703"/>
            <w:shd w:val="clear" w:color="auto" w:fill="F2F2F2"/>
          </w:tcPr>
          <w:p>
            <w:r>
              <w:rPr>
                <w:sz w:val="20"/>
              </w:rPr>
              <w:t>Pre-clearance</w:t>
            </w:r>
          </w:p>
        </w:tc>
        <w:tc>
          <w:tcPr>
            <w:tcW w:type="dxa" w:w="4703"/>
            <w:shd w:val="clear" w:color="auto" w:fill="F2F2F2"/>
          </w:tcPr>
          <w:p>
            <w:r>
              <w:rPr>
                <w:sz w:val="20"/>
              </w:rPr>
              <w:t>MAFF pre-clearance inspection may be required for high-risk consignments</w:t>
            </w:r>
          </w:p>
        </w:tc>
      </w:tr>
      <w:tr>
        <w:tc>
          <w:tcPr>
            <w:tcW w:type="dxa" w:w="4703"/>
          </w:tcPr>
          <w:p>
            <w:r>
              <w:rPr>
                <w:sz w:val="20"/>
              </w:rPr>
              <w:t>Mycotoxin Limits</w:t>
            </w:r>
          </w:p>
        </w:tc>
        <w:tc>
          <w:tcPr>
            <w:tcW w:type="dxa" w:w="4703"/>
          </w:tcPr>
          <w:p>
            <w:r>
              <w:rPr>
                <w:sz w:val="20"/>
              </w:rPr>
              <w:t>Aflatoxin B1 ≤10 ppb; DON ≤1,100 ppb for wheat</w:t>
            </w:r>
          </w:p>
        </w:tc>
      </w:tr>
    </w:tbl>
    <w:p/>
    <w:p>
      <w:pPr>
        <w:pStyle w:val="Heading1"/>
      </w:pPr>
      <w:r>
        <w:rPr>
          <w:color w:val="1F497D"/>
          <w:sz w:val="26"/>
        </w:rPr>
        <w:t>12. Supporting Documents</w:t>
      </w:r>
    </w:p>
    <w:p>
      <w:pPr>
        <w:pStyle w:val="ListBullet"/>
      </w:pPr>
      <w:r>
        <w:rPr>
          <w:sz w:val="20"/>
        </w:rPr>
        <w:t>Farm Site Plan (Appendix A)</w:t>
      </w:r>
    </w:p>
    <w:p>
      <w:pPr>
        <w:pStyle w:val="ListBullet"/>
      </w:pPr>
      <w:r>
        <w:rPr>
          <w:sz w:val="20"/>
        </w:rPr>
        <w:t>HACCP Plan (current version)</w:t>
      </w:r>
    </w:p>
    <w:p>
      <w:pPr>
        <w:pStyle w:val="ListBullet"/>
      </w:pPr>
      <w:r>
        <w:rPr>
          <w:sz w:val="20"/>
        </w:rPr>
        <w:t>Pest Management Plan</w:t>
      </w:r>
    </w:p>
    <w:p>
      <w:pPr>
        <w:pStyle w:val="ListBullet"/>
      </w:pPr>
      <w:r>
        <w:rPr>
          <w:sz w:val="20"/>
        </w:rPr>
        <w:t>Hygiene and Sanitation Plan</w:t>
      </w:r>
    </w:p>
    <w:p>
      <w:pPr>
        <w:pStyle w:val="ListBullet"/>
      </w:pPr>
      <w:r>
        <w:rPr>
          <w:sz w:val="20"/>
        </w:rPr>
        <w:t>Phytosanitary Security Procedure</w:t>
      </w:r>
    </w:p>
    <w:p>
      <w:pPr>
        <w:pStyle w:val="ListBullet"/>
      </w:pPr>
      <w:r>
        <w:rPr>
          <w:sz w:val="20"/>
        </w:rPr>
        <w:t>Traceability Register</w:t>
      </w:r>
    </w:p>
    <w:p/>
    <w:p>
      <w:pPr>
        <w:pStyle w:val="Heading1"/>
      </w:pPr>
      <w:r>
        <w:rPr>
          <w:color w:val="1F497D"/>
          <w:sz w:val="26"/>
        </w:rPr>
        <w:t>13. Food Safety Program</w:t>
      </w:r>
    </w:p>
    <w:p>
      <w:r>
        <w:rPr>
          <w:sz w:val="20"/>
        </w:rPr>
        <w:t>A HACCP-based food safety program is maintained for all export operations. The program addresses pre-harvest, receival, storage, processing and dispatch stages. Critical control points are documented with monitoring procedures and corrective action plans. The food safety program is reviewed annually or following any significant operational change.</w:t>
      </w:r>
    </w:p>
    <w:p>
      <w:pPr>
        <w:pStyle w:val="Heading1"/>
      </w:pPr>
      <w:r>
        <w:rPr>
          <w:color w:val="1F497D"/>
          <w:sz w:val="26"/>
        </w:rPr>
        <w:t>14. Record Keeping</w:t>
      </w:r>
    </w:p>
    <w:p>
      <w:r>
        <w:rPr>
          <w:sz w:val="20"/>
        </w:rPr>
        <w:t>Records relating to all export operations, including receival dockets, storage logs, treatment records, dispatch documentation and audit reports, are maintained on site and in the business management system. Records are retained for a minimum of two years from the date of the relevant export activity in accordance with Rule 4-7B of the Export Control (Plants and Plant Products) Rules 2021.</w:t>
      </w:r>
    </w:p>
    <w:p/>
    <w:p>
      <w:r>
        <w:t>────────────────────────────────────────────────────────────</w:t>
      </w:r>
    </w:p>
    <w:p>
      <w:pPr>
        <w:pStyle w:val="Heading2"/>
      </w:pPr>
      <w:r>
        <w:rPr>
          <w:color w:val="1F497D"/>
          <w:sz w:val="22"/>
        </w:rPr>
        <w:t>Declaration</w:t>
      </w:r>
    </w:p>
    <w:p>
      <w:r>
        <w:rPr>
          <w:sz w:val="20"/>
        </w:rPr>
        <w:t>I, Gina Beaumont, as the responsible person for Avon Valley Exports Trust (RE RE-WA-2021-0133), declare that the information provided in this registration record is true and correct to the best of my knowledge. I acknowledge the obligations under the Export Control Act 2020 and the Export Control (Plants and Plant Products) Rules 2021.</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Signature</w:t>
            </w:r>
          </w:p>
        </w:tc>
        <w:tc>
          <w:tcPr>
            <w:tcW w:type="dxa" w:w="5669"/>
          </w:tcPr>
          <w:p>
            <w:r>
              <w:rPr>
                <w:sz w:val="20"/>
              </w:rPr>
            </w:r>
          </w:p>
        </w:tc>
      </w:tr>
      <w:tr>
        <w:tc>
          <w:tcPr>
            <w:tcW w:type="dxa" w:w="2835"/>
            <w:shd w:val="clear" w:color="auto" w:fill="DCE6F1"/>
          </w:tcPr>
          <w:p>
            <w:r>
              <w:rPr>
                <w:b/>
                <w:sz w:val="20"/>
              </w:rPr>
              <w:t>Name</w:t>
            </w:r>
          </w:p>
        </w:tc>
        <w:tc>
          <w:tcPr>
            <w:tcW w:type="dxa" w:w="5669"/>
          </w:tcPr>
          <w:p>
            <w:r>
              <w:rPr>
                <w:sz w:val="20"/>
              </w:rPr>
              <w:t>Gina Beaumont</w:t>
            </w:r>
          </w:p>
        </w:tc>
      </w:tr>
      <w:tr>
        <w:tc>
          <w:tcPr>
            <w:tcW w:type="dxa" w:w="2835"/>
            <w:shd w:val="clear" w:color="auto" w:fill="DCE6F1"/>
          </w:tcPr>
          <w:p>
            <w:r>
              <w:rPr>
                <w:b/>
                <w:sz w:val="20"/>
              </w:rPr>
              <w:t>Date</w:t>
            </w:r>
          </w:p>
        </w:tc>
        <w:tc>
          <w:tcPr>
            <w:tcW w:type="dxa" w:w="5669"/>
          </w:tcPr>
          <w:p>
            <w:r>
              <w:rPr>
                <w:sz w:val="20"/>
              </w:rPr>
              <w:t>17 March 2025</w:t>
            </w:r>
          </w:p>
        </w:tc>
      </w:tr>
      <w:tr>
        <w:tc>
          <w:tcPr>
            <w:tcW w:type="dxa" w:w="2835"/>
            <w:shd w:val="clear" w:color="auto" w:fill="DCE6F1"/>
          </w:tcPr>
          <w:p>
            <w:r>
              <w:rPr>
                <w:b/>
                <w:sz w:val="20"/>
              </w:rPr>
              <w:t>Position</w:t>
            </w:r>
          </w:p>
        </w:tc>
        <w:tc>
          <w:tcPr>
            <w:tcW w:type="dxa" w:w="5669"/>
          </w:tcPr>
          <w:p>
            <w:r>
              <w:rPr>
                <w:sz w:val="20"/>
              </w:rPr>
              <w:t>Responsible Person / Owner</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