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RE-WA-2021-0166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3 November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32 345 678 906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Meckering Grain Services Trust</w:t>
            </w:r>
          </w:p>
        </w:tc>
      </w:tr>
      <w:tr>
        <w:tc>
          <w:tcPr>
            <w:tcW w:type="dxa" w:w="2835"/>
            <w:shd w:val="clear" w:color="auto" w:fill="DCE6F1"/>
          </w:tcPr>
          <w:p>
            <w:r>
              <w:rPr>
                <w:b/>
                <w:sz w:val="20"/>
              </w:rPr>
              <w:t>Trading Name</w:t>
            </w:r>
          </w:p>
        </w:tc>
        <w:tc>
          <w:tcPr>
            <w:tcW w:type="dxa" w:w="5669"/>
          </w:tcPr>
          <w:p>
            <w:r>
              <w:rPr>
                <w:sz w:val="20"/>
              </w:rPr>
              <w:t>Meckering Grain Services Trust</w:t>
            </w:r>
          </w:p>
        </w:tc>
      </w:tr>
      <w:tr>
        <w:tc>
          <w:tcPr>
            <w:tcW w:type="dxa" w:w="2835"/>
            <w:shd w:val="clear" w:color="auto" w:fill="DCE6F1"/>
          </w:tcPr>
          <w:p>
            <w:r>
              <w:rPr>
                <w:b/>
                <w:sz w:val="20"/>
              </w:rPr>
              <w:t>Address</w:t>
            </w:r>
          </w:p>
        </w:tc>
        <w:tc>
          <w:tcPr>
            <w:tcW w:type="dxa" w:w="5669"/>
          </w:tcPr>
          <w:p>
            <w:r>
              <w:rPr>
                <w:sz w:val="20"/>
              </w:rPr>
              <w:t>Lot 5 Great Eastern Highway, Meckering WA 6405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Gayle Preston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RE-WA-2021-0166</w:t>
            </w:r>
          </w:p>
        </w:tc>
      </w:tr>
      <w:tr>
        <w:tc>
          <w:tcPr>
            <w:tcW w:type="dxa" w:w="2835"/>
            <w:shd w:val="clear" w:color="auto" w:fill="DCE6F1"/>
          </w:tcPr>
          <w:p>
            <w:r>
              <w:rPr>
                <w:b/>
                <w:sz w:val="20"/>
              </w:rPr>
              <w:t>Registration Expiry</w:t>
            </w:r>
          </w:p>
        </w:tc>
        <w:tc>
          <w:tcPr>
            <w:tcW w:type="dxa" w:w="5669"/>
          </w:tcPr>
          <w:p>
            <w:r>
              <w:rPr>
                <w:sz w:val="20"/>
              </w:rPr>
              <w:t>22 July 2024</w:t>
            </w:r>
          </w:p>
        </w:tc>
      </w:tr>
    </w:tbl>
    <w:p/>
    <w:p>
      <w:pPr>
        <w:pStyle w:val="Heading1"/>
      </w:pPr>
      <w:r>
        <w:rPr>
          <w:color w:val="1F497D"/>
          <w:sz w:val="26"/>
        </w:rPr>
        <w:t>2. Registered Export Operations</w:t>
      </w:r>
    </w:p>
    <w:p>
      <w:r>
        <w:rPr>
          <w:sz w:val="20"/>
        </w:rPr>
        <w:t>This establishment is registered to export barley (grain). Operations have expanded to include contract receival services for neighbouring farms, including weighbridge services, drying, and bagging for domestic sale. These contract activities are integrated with the export operation and use shared receival infrastructure.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Registered barley intake for export</w:t>
            </w:r>
          </w:p>
        </w:tc>
        <w:tc>
          <w:tcPr>
            <w:tcW w:type="dxa" w:w="3135"/>
            <w:shd w:val="clear" w:color="auto" w:fill="F2F2F2"/>
          </w:tcPr>
          <w:p>
            <w:r>
              <w:rPr>
                <w:sz w:val="20"/>
              </w:rPr>
              <w:t>Within scope</w:t>
            </w:r>
          </w:p>
        </w:tc>
      </w:tr>
      <w:tr>
        <w:tc>
          <w:tcPr>
            <w:tcW w:type="dxa" w:w="3135"/>
          </w:tcPr>
          <w:p>
            <w:r>
              <w:rPr>
                <w:sz w:val="20"/>
              </w:rPr>
              <w:t>Contract receival</w:t>
            </w:r>
          </w:p>
        </w:tc>
        <w:tc>
          <w:tcPr>
            <w:tcW w:type="dxa" w:w="3135"/>
          </w:tcPr>
          <w:p>
            <w:r>
              <w:rPr>
                <w:sz w:val="20"/>
              </w:rPr>
              <w:t>Third-party receival services — weighbridge and intake</w:t>
            </w:r>
          </w:p>
        </w:tc>
        <w:tc>
          <w:tcPr>
            <w:tcW w:type="dxa" w:w="3135"/>
          </w:tcPr>
          <w:p>
            <w:r>
              <w:rPr>
                <w:sz w:val="20"/>
              </w:rPr>
              <w:t>Not registered</w:t>
            </w:r>
          </w:p>
        </w:tc>
      </w:tr>
      <w:tr>
        <w:tc>
          <w:tcPr>
            <w:tcW w:type="dxa" w:w="3135"/>
            <w:shd w:val="clear" w:color="auto" w:fill="F2F2F2"/>
          </w:tcPr>
          <w:p>
            <w:r>
              <w:rPr>
                <w:sz w:val="20"/>
              </w:rPr>
              <w:t>Drying</w:t>
            </w:r>
          </w:p>
        </w:tc>
        <w:tc>
          <w:tcPr>
            <w:tcW w:type="dxa" w:w="3135"/>
            <w:shd w:val="clear" w:color="auto" w:fill="F2F2F2"/>
          </w:tcPr>
          <w:p>
            <w:r>
              <w:rPr>
                <w:sz w:val="20"/>
              </w:rPr>
              <w:t>High-temperature drying for domestic-grade product</w:t>
            </w:r>
          </w:p>
        </w:tc>
        <w:tc>
          <w:tcPr>
            <w:tcW w:type="dxa" w:w="3135"/>
            <w:shd w:val="clear" w:color="auto" w:fill="F2F2F2"/>
          </w:tcPr>
          <w:p>
            <w:r>
              <w:rPr>
                <w:sz w:val="20"/>
              </w:rPr>
              <w:t>Not registered</w:t>
            </w:r>
          </w:p>
        </w:tc>
      </w:tr>
      <w:tr>
        <w:tc>
          <w:tcPr>
            <w:tcW w:type="dxa" w:w="3135"/>
          </w:tcPr>
          <w:p>
            <w:r>
              <w:rPr>
                <w:sz w:val="20"/>
              </w:rPr>
              <w:t>Bagging</w:t>
            </w:r>
          </w:p>
        </w:tc>
        <w:tc>
          <w:tcPr>
            <w:tcW w:type="dxa" w:w="3135"/>
          </w:tcPr>
          <w:p>
            <w:r>
              <w:rPr>
                <w:sz w:val="20"/>
              </w:rPr>
              <w:t>Packaging into 25 kg bags for domestic distribution</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Export and domestic dispatch from shared dock</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RE-WA-2021-0166 is current and active. The establishment was granted registration on 23 July 2021 and the current registration period extends to 22 July 2024. There are no conditions, suspensions or reviews attached to this registration.</w:t>
      </w:r>
    </w:p>
    <w:p/>
    <w:p>
      <w:pPr>
        <w:pStyle w:val="Heading1"/>
      </w:pPr>
      <w:r>
        <w:rPr>
          <w:color w:val="1F497D"/>
          <w:sz w:val="26"/>
        </w:rPr>
        <w:t>4. Fit and Proper Person</w:t>
      </w:r>
    </w:p>
    <w:p>
      <w:r>
        <w:rPr>
          <w:sz w:val="20"/>
        </w:rPr>
        <w:t>Gayle Preston is the nominated responsible person for this registration. The establishment has been under continuous management since 2013.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41 on Plan DP 426585, located at Lot 5 Great Eastern Highway, Meckering WA 6405. The total registered area is 42.7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Import requirements</w:t>
            </w:r>
          </w:p>
        </w:tc>
        <w:tc>
          <w:tcPr>
            <w:tcW w:type="dxa" w:w="4703"/>
            <w:shd w:val="clear" w:color="auto" w:fill="F2F2F2"/>
          </w:tcPr>
          <w:p>
            <w:r>
              <w:rPr>
                <w:sz w:val="20"/>
              </w:rPr>
              <w:t>Comply with all importing country requirements for Japan</w:t>
            </w:r>
          </w:p>
        </w:tc>
      </w:tr>
      <w:tr>
        <w:tc>
          <w:tcPr>
            <w:tcW w:type="dxa" w:w="4703"/>
          </w:tcPr>
          <w:p>
            <w:r>
              <w:rPr>
                <w:sz w:val="20"/>
              </w:rPr>
              <w:t>Documentation</w:t>
            </w:r>
          </w:p>
        </w:tc>
        <w:tc>
          <w:tcPr>
            <w:tcW w:type="dxa" w:w="4703"/>
          </w:tcPr>
          <w:p>
            <w:r>
              <w:rPr>
                <w:sz w:val="20"/>
              </w:rPr>
              <w:t>Relevant documentation to accompany each consignment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Gayle Preston, as the responsible person for Meckering Grain Services Trust (RE RE-WA-2021-0166),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Gayle Preston</w:t>
            </w:r>
          </w:p>
        </w:tc>
      </w:tr>
      <w:tr>
        <w:tc>
          <w:tcPr>
            <w:tcW w:type="dxa" w:w="2835"/>
            <w:shd w:val="clear" w:color="auto" w:fill="DCE6F1"/>
          </w:tcPr>
          <w:p>
            <w:r>
              <w:rPr>
                <w:b/>
                <w:sz w:val="20"/>
              </w:rPr>
              <w:t>Date</w:t>
            </w:r>
          </w:p>
        </w:tc>
        <w:tc>
          <w:tcPr>
            <w:tcW w:type="dxa" w:w="5669"/>
          </w:tcPr>
          <w:p>
            <w:r>
              <w:rPr>
                <w:sz w:val="20"/>
              </w:rPr>
              <w:t>3 November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