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Kwinana Malt Barley</w:t>
            </w:r>
          </w:p>
        </w:tc>
      </w:tr>
      <w:tr>
        <w:tc>
          <w:tcPr>
            <w:tcW w:type="dxa" w:w="3118"/>
            <w:shd w:val="clear" w:color="auto" w:fill="DCE6F1"/>
            <w:vAlign w:val="center"/>
          </w:tcPr>
          <w:p>
            <w:r>
              <w:rPr>
                <w:b/>
                <w:sz w:val="18"/>
              </w:rPr>
              <w:t>RE Number</w:t>
            </w:r>
          </w:p>
        </w:tc>
        <w:tc>
          <w:tcPr>
            <w:tcW w:type="dxa" w:w="6236"/>
            <w:vAlign w:val="center"/>
          </w:tcPr>
          <w:p>
            <w:r>
              <w:rPr>
                <w:sz w:val="18"/>
              </w:rPr>
              <w:t>RE-WA-2021-0188</w:t>
            </w:r>
          </w:p>
        </w:tc>
      </w:tr>
      <w:tr>
        <w:tc>
          <w:tcPr>
            <w:tcW w:type="dxa" w:w="3118"/>
            <w:shd w:val="clear" w:color="auto" w:fill="DCE6F1"/>
            <w:vAlign w:val="center"/>
          </w:tcPr>
          <w:p>
            <w:r>
              <w:rPr>
                <w:b/>
                <w:sz w:val="18"/>
              </w:rPr>
              <w:t>State / Territory</w:t>
            </w:r>
          </w:p>
        </w:tc>
        <w:tc>
          <w:tcPr>
            <w:tcW w:type="dxa" w:w="6236"/>
            <w:vAlign w:val="center"/>
          </w:tcPr>
          <w:p>
            <w:r>
              <w:rPr>
                <w:sz w:val="18"/>
              </w:rPr>
              <w:t>WA</w:t>
            </w:r>
          </w:p>
        </w:tc>
      </w:tr>
      <w:tr>
        <w:tc>
          <w:tcPr>
            <w:tcW w:type="dxa" w:w="3118"/>
            <w:shd w:val="clear" w:color="auto" w:fill="DCE6F1"/>
            <w:vAlign w:val="center"/>
          </w:tcPr>
          <w:p>
            <w:r>
              <w:rPr>
                <w:b/>
                <w:sz w:val="18"/>
              </w:rPr>
              <w:t>Property Address</w:t>
            </w:r>
          </w:p>
        </w:tc>
        <w:tc>
          <w:tcPr>
            <w:tcW w:type="dxa" w:w="6236"/>
            <w:vAlign w:val="center"/>
          </w:tcPr>
          <w:p>
            <w:r>
              <w:rPr>
                <w:sz w:val="18"/>
              </w:rPr>
              <w:t>Lot 55 Kwinana Beach Road, Kwinana WA 6167</w:t>
            </w:r>
          </w:p>
        </w:tc>
      </w:tr>
      <w:tr>
        <w:tc>
          <w:tcPr>
            <w:tcW w:type="dxa" w:w="3118"/>
            <w:shd w:val="clear" w:color="auto" w:fill="DCE6F1"/>
            <w:vAlign w:val="center"/>
          </w:tcPr>
          <w:p>
            <w:r>
              <w:rPr>
                <w:b/>
                <w:sz w:val="18"/>
              </w:rPr>
              <w:t>Registered Commodity</w:t>
            </w:r>
          </w:p>
        </w:tc>
        <w:tc>
          <w:tcPr>
            <w:tcW w:type="dxa" w:w="6236"/>
            <w:vAlign w:val="center"/>
          </w:tcPr>
          <w:p>
            <w:r>
              <w:rPr>
                <w:sz w:val="18"/>
              </w:rPr>
              <w:t>Onions</w:t>
            </w:r>
          </w:p>
        </w:tc>
      </w:tr>
      <w:tr>
        <w:tc>
          <w:tcPr>
            <w:tcW w:type="dxa" w:w="3118"/>
            <w:shd w:val="clear" w:color="auto" w:fill="DCE6F1"/>
            <w:vAlign w:val="center"/>
          </w:tcPr>
          <w:p>
            <w:r>
              <w:rPr>
                <w:b/>
                <w:sz w:val="18"/>
              </w:rPr>
              <w:t>Responsible Officer</w:t>
            </w:r>
          </w:p>
        </w:tc>
        <w:tc>
          <w:tcPr>
            <w:tcW w:type="dxa" w:w="6236"/>
            <w:vAlign w:val="center"/>
          </w:tcPr>
          <w:p>
            <w:r>
              <w:rPr>
                <w:sz w:val="18"/>
              </w:rPr>
              <w:t>Amy Schultz</w:t>
            </w:r>
          </w:p>
        </w:tc>
      </w:tr>
      <w:tr>
        <w:tc>
          <w:tcPr>
            <w:tcW w:type="dxa" w:w="3118"/>
            <w:shd w:val="clear" w:color="auto" w:fill="DCE6F1"/>
            <w:vAlign w:val="center"/>
          </w:tcPr>
          <w:p>
            <w:r>
              <w:rPr>
                <w:b/>
                <w:sz w:val="18"/>
              </w:rPr>
              <w:t>Property Area</w:t>
            </w:r>
          </w:p>
        </w:tc>
        <w:tc>
          <w:tcPr>
            <w:tcW w:type="dxa" w:w="6236"/>
            <w:vAlign w:val="center"/>
          </w:tcPr>
          <w:p>
            <w:r>
              <w:rPr>
                <w:sz w:val="18"/>
              </w:rPr>
              <w:t>98.0 ha</w:t>
            </w:r>
          </w:p>
        </w:tc>
      </w:tr>
      <w:tr>
        <w:tc>
          <w:tcPr>
            <w:tcW w:type="dxa" w:w="3118"/>
            <w:shd w:val="clear" w:color="auto" w:fill="DCE6F1"/>
            <w:vAlign w:val="center"/>
          </w:tcPr>
          <w:p>
            <w:r>
              <w:rPr>
                <w:b/>
                <w:sz w:val="18"/>
              </w:rPr>
              <w:t>Year Established</w:t>
            </w:r>
          </w:p>
        </w:tc>
        <w:tc>
          <w:tcPr>
            <w:tcW w:type="dxa" w:w="6236"/>
            <w:vAlign w:val="center"/>
          </w:tcPr>
          <w:p>
            <w:r>
              <w:rPr>
                <w:sz w:val="18"/>
              </w:rPr>
              <w:t>2018</w:t>
            </w:r>
          </w:p>
        </w:tc>
      </w:tr>
      <w:tr>
        <w:tc>
          <w:tcPr>
            <w:tcW w:type="dxa" w:w="3118"/>
            <w:shd w:val="clear" w:color="auto" w:fill="DCE6F1"/>
            <w:vAlign w:val="center"/>
          </w:tcPr>
          <w:p>
            <w:r>
              <w:rPr>
                <w:b/>
                <w:sz w:val="18"/>
              </w:rPr>
              <w:t>Document Version</w:t>
            </w:r>
          </w:p>
        </w:tc>
        <w:tc>
          <w:tcPr>
            <w:tcW w:type="dxa" w:w="6236"/>
            <w:vAlign w:val="center"/>
          </w:tcPr>
          <w:p>
            <w:r>
              <w:rPr>
                <w:sz w:val="18"/>
              </w:rPr>
              <w:t>2.3</w:t>
            </w:r>
          </w:p>
        </w:tc>
      </w:tr>
      <w:tr>
        <w:tc>
          <w:tcPr>
            <w:tcW w:type="dxa" w:w="3118"/>
            <w:shd w:val="clear" w:color="auto" w:fill="DCE6F1"/>
            <w:vAlign w:val="center"/>
          </w:tcPr>
          <w:p>
            <w:r>
              <w:rPr>
                <w:b/>
                <w:sz w:val="18"/>
              </w:rPr>
              <w:t>Plan Date</w:t>
            </w:r>
          </w:p>
        </w:tc>
        <w:tc>
          <w:tcPr>
            <w:tcW w:type="dxa" w:w="6236"/>
            <w:vAlign w:val="center"/>
          </w:tcPr>
          <w:p>
            <w:r>
              <w:rPr>
                <w:sz w:val="18"/>
              </w:rPr>
              <w:t>5 October 2024</w:t>
            </w:r>
          </w:p>
        </w:tc>
      </w:tr>
      <w:tr>
        <w:tc>
          <w:tcPr>
            <w:tcW w:type="dxa" w:w="3118"/>
            <w:shd w:val="clear" w:color="auto" w:fill="DCE6F1"/>
            <w:vAlign w:val="center"/>
          </w:tcPr>
          <w:p>
            <w:r>
              <w:rPr>
                <w:b/>
                <w:sz w:val="18"/>
              </w:rPr>
              <w:t>Next Review</w:t>
            </w:r>
          </w:p>
        </w:tc>
        <w:tc>
          <w:tcPr>
            <w:tcW w:type="dxa" w:w="6236"/>
            <w:vAlign w:val="center"/>
          </w:tcPr>
          <w:p>
            <w:r>
              <w:rPr>
                <w:sz w:val="18"/>
              </w:rPr>
              <w:t>5 October 2026</w:t>
            </w:r>
          </w:p>
        </w:tc>
      </w:tr>
    </w:tbl>
    <w:p/>
    <w:p>
      <w:pPr>
        <w:pStyle w:val="Heading1"/>
      </w:pPr>
      <w:r>
        <w:rPr>
          <w:color w:val="1F497D"/>
        </w:rPr>
        <w:t>1.  OVERVIEW</w:t>
      </w:r>
    </w:p>
    <w:p>
      <w:r>
        <w:rPr>
          <w:b w:val="0"/>
          <w:i w:val="0"/>
          <w:sz w:val="20"/>
        </w:rPr>
        <w:t>Kwinana Malt Barley is a registered export establishment located at Lot 55 Kwinana Beach Road, Kwinana WA 6167, WA. The establishment holds RE Number RE-WA-2021-0188 and is registered to handle and export Onions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Packing Hall</w:t>
            </w:r>
          </w:p>
        </w:tc>
        <w:tc>
          <w:tcPr>
            <w:tcW w:type="dxa" w:w="1587"/>
            <w:shd w:val="clear" w:color="auto" w:fill="FFFFFF"/>
            <w:vAlign w:val="center"/>
          </w:tcPr>
          <w:p>
            <w:r>
              <w:rPr>
                <w:sz w:val="18"/>
              </w:rPr>
              <w:t>35×22 m</w:t>
            </w:r>
          </w:p>
        </w:tc>
        <w:tc>
          <w:tcPr>
            <w:tcW w:type="dxa" w:w="1984"/>
            <w:shd w:val="clear" w:color="auto" w:fill="FFFFFF"/>
            <w:vAlign w:val="center"/>
          </w:tcPr>
          <w:p>
            <w:r>
              <w:rPr>
                <w:sz w:val="18"/>
              </w:rPr>
              <w:t>Tilt-up concrete,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CS1</w:t>
            </w:r>
          </w:p>
        </w:tc>
        <w:tc>
          <w:tcPr>
            <w:tcW w:type="dxa" w:w="3118"/>
            <w:shd w:val="clear" w:color="auto" w:fill="F2F2F2"/>
            <w:vAlign w:val="center"/>
          </w:tcPr>
          <w:p>
            <w:r>
              <w:rPr>
                <w:sz w:val="18"/>
              </w:rPr>
              <w:t>Cool Store 1</w:t>
            </w:r>
          </w:p>
        </w:tc>
        <w:tc>
          <w:tcPr>
            <w:tcW w:type="dxa" w:w="1587"/>
            <w:shd w:val="clear" w:color="auto" w:fill="F2F2F2"/>
            <w:vAlign w:val="center"/>
          </w:tcPr>
          <w:p>
            <w:r>
              <w:rPr>
                <w:sz w:val="18"/>
              </w:rPr>
              <w:t>18×14 m</w:t>
            </w:r>
          </w:p>
        </w:tc>
        <w:tc>
          <w:tcPr>
            <w:tcW w:type="dxa" w:w="1984"/>
            <w:shd w:val="clear" w:color="auto" w:fill="F2F2F2"/>
            <w:vAlign w:val="center"/>
          </w:tcPr>
          <w:p>
            <w:r>
              <w:rPr>
                <w:sz w:val="18"/>
              </w:rPr>
              <w:t>Insulated panel, R410A refrigeration</w:t>
            </w:r>
          </w:p>
        </w:tc>
        <w:tc>
          <w:tcPr>
            <w:tcW w:type="dxa" w:w="2381"/>
            <w:shd w:val="clear" w:color="auto" w:fill="F2F2F2"/>
            <w:vAlign w:val="center"/>
          </w:tcPr>
          <w:p>
            <w:r>
              <w:rPr>
                <w:sz w:val="18"/>
              </w:rPr>
              <w:t>East of PH</w:t>
            </w:r>
          </w:p>
        </w:tc>
      </w:tr>
      <w:tr>
        <w:tc>
          <w:tcPr>
            <w:tcW w:type="dxa" w:w="850"/>
            <w:shd w:val="clear" w:color="auto" w:fill="FFFFFF"/>
            <w:vAlign w:val="center"/>
          </w:tcPr>
          <w:p>
            <w:r>
              <w:rPr>
                <w:sz w:val="18"/>
              </w:rPr>
              <w:t>CS2</w:t>
            </w:r>
          </w:p>
        </w:tc>
        <w:tc>
          <w:tcPr>
            <w:tcW w:type="dxa" w:w="3118"/>
            <w:shd w:val="clear" w:color="auto" w:fill="FFFFFF"/>
            <w:vAlign w:val="center"/>
          </w:tcPr>
          <w:p>
            <w:r>
              <w:rPr>
                <w:sz w:val="18"/>
              </w:rPr>
              <w:t>Cool Store 2</w:t>
            </w:r>
          </w:p>
        </w:tc>
        <w:tc>
          <w:tcPr>
            <w:tcW w:type="dxa" w:w="1587"/>
            <w:shd w:val="clear" w:color="auto" w:fill="FFFFFF"/>
            <w:vAlign w:val="center"/>
          </w:tcPr>
          <w:p>
            <w:r>
              <w:rPr>
                <w:sz w:val="18"/>
              </w:rPr>
              <w:t>18×14 m</w:t>
            </w:r>
          </w:p>
        </w:tc>
        <w:tc>
          <w:tcPr>
            <w:tcW w:type="dxa" w:w="1984"/>
            <w:shd w:val="clear" w:color="auto" w:fill="FFFFFF"/>
            <w:vAlign w:val="center"/>
          </w:tcPr>
          <w:p>
            <w:r>
              <w:rPr>
                <w:sz w:val="18"/>
              </w:rPr>
              <w:t>Insulated panel, R410A refrigeration</w:t>
            </w:r>
          </w:p>
        </w:tc>
        <w:tc>
          <w:tcPr>
            <w:tcW w:type="dxa" w:w="2381"/>
            <w:shd w:val="clear" w:color="auto" w:fill="FFFFFF"/>
            <w:vAlign w:val="center"/>
          </w:tcPr>
          <w:p>
            <w:r>
              <w:rPr>
                <w:sz w:val="18"/>
              </w:rPr>
              <w:t>East of CS1</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 self-contained</w:t>
            </w:r>
          </w:p>
        </w:tc>
        <w:tc>
          <w:tcPr>
            <w:tcW w:type="dxa" w:w="2381"/>
            <w:shd w:val="clear" w:color="auto" w:fill="F2F2F2"/>
            <w:vAlign w:val="center"/>
          </w:tcPr>
          <w:p>
            <w:r>
              <w:rPr>
                <w:sz w:val="18"/>
              </w:rPr>
              <w:t>Adjacent to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5×4 m</w:t>
            </w:r>
          </w:p>
        </w:tc>
        <w:tc>
          <w:tcPr>
            <w:tcW w:type="dxa" w:w="1984"/>
            <w:shd w:val="clear" w:color="auto" w:fill="FFFFFF"/>
            <w:vAlign w:val="center"/>
          </w:tcPr>
          <w:p>
            <w:r>
              <w:rPr>
                <w:sz w:val="18"/>
              </w:rPr>
              <w:t>Steel, bunded slab</w:t>
            </w:r>
          </w:p>
        </w:tc>
        <w:tc>
          <w:tcPr>
            <w:tcW w:type="dxa" w:w="2381"/>
            <w:shd w:val="clear" w:color="auto" w:fill="FFFFFF"/>
            <w:vAlign w:val="center"/>
          </w:tcPr>
          <w:p>
            <w:r>
              <w:rPr>
                <w:sz w:val="18"/>
              </w:rPr>
              <w:t>SW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steel room in PH</w:t>
            </w:r>
          </w:p>
        </w:tc>
        <w:tc>
          <w:tcPr>
            <w:tcW w:type="dxa" w:w="2381"/>
            <w:shd w:val="clear" w:color="auto" w:fill="F2F2F2"/>
            <w:vAlign w:val="center"/>
          </w:tcPr>
          <w:p>
            <w:r>
              <w:rPr>
                <w:sz w:val="18"/>
              </w:rPr>
              <w:t>PH north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Fruit washing and brushing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Pre-grading hygiene</w:t>
            </w:r>
          </w:p>
        </w:tc>
      </w:tr>
      <w:tr>
        <w:tc>
          <w:tcPr>
            <w:tcW w:type="dxa" w:w="3685"/>
            <w:shd w:val="clear" w:color="auto" w:fill="F2F2F2"/>
            <w:vAlign w:val="center"/>
          </w:tcPr>
          <w:p>
            <w:r>
              <w:rPr>
                <w:sz w:val="18"/>
              </w:rPr>
              <w:t>Optical grader (weight/colour/defect)</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grade sorting</w:t>
            </w:r>
          </w:p>
        </w:tc>
      </w:tr>
      <w:tr>
        <w:tc>
          <w:tcPr>
            <w:tcW w:type="dxa" w:w="3685"/>
            <w:shd w:val="clear" w:color="auto" w:fill="FFFFFF"/>
            <w:vAlign w:val="center"/>
          </w:tcPr>
          <w:p>
            <w:r>
              <w:rPr>
                <w:sz w:val="18"/>
              </w:rPr>
              <w:t>Sticker/label applicator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Retail and export labelling</w:t>
            </w:r>
          </w:p>
        </w:tc>
      </w:tr>
      <w:tr>
        <w:tc>
          <w:tcPr>
            <w:tcW w:type="dxa" w:w="3685"/>
            <w:shd w:val="clear" w:color="auto" w:fill="F2F2F2"/>
            <w:vAlign w:val="center"/>
          </w:tcPr>
          <w:p>
            <w:r>
              <w:rPr>
                <w:sz w:val="18"/>
              </w:rPr>
              <w:t>Palletiser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 build</w:t>
            </w:r>
          </w:p>
        </w:tc>
      </w:tr>
      <w:tr>
        <w:tc>
          <w:tcPr>
            <w:tcW w:type="dxa" w:w="3685"/>
            <w:shd w:val="clear" w:color="auto" w:fill="FFFFFF"/>
            <w:vAlign w:val="center"/>
          </w:tcPr>
          <w:p>
            <w:r>
              <w:rPr>
                <w:sz w:val="18"/>
              </w:rPr>
              <w:t>Metal detector</w:t>
            </w:r>
          </w:p>
        </w:tc>
        <w:tc>
          <w:tcPr>
            <w:tcW w:type="dxa" w:w="1984"/>
            <w:shd w:val="clear" w:color="auto" w:fill="FFFFFF"/>
            <w:vAlign w:val="center"/>
          </w:tcPr>
          <w:p>
            <w:r>
              <w:rPr>
                <w:sz w:val="18"/>
              </w:rPr>
              <w:t>CCP inline</w:t>
            </w:r>
          </w:p>
        </w:tc>
        <w:tc>
          <w:tcPr>
            <w:tcW w:type="dxa" w:w="4252"/>
            <w:shd w:val="clear" w:color="auto" w:fill="FFFFFF"/>
            <w:vAlign w:val="center"/>
          </w:tcPr>
          <w:p>
            <w:r>
              <w:rPr>
                <w:sz w:val="18"/>
              </w:rPr>
              <w:t>Food safety — export compliance</w:t>
            </w:r>
          </w:p>
        </w:tc>
      </w:tr>
      <w:tr>
        <w:tc>
          <w:tcPr>
            <w:tcW w:type="dxa" w:w="3685"/>
            <w:shd w:val="clear" w:color="auto" w:fill="F2F2F2"/>
            <w:vAlign w:val="center"/>
          </w:tcPr>
          <w:p>
            <w:r>
              <w:rPr>
                <w:sz w:val="18"/>
              </w:rPr>
              <w:t>Weigh-price labeller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Consumer pack verification</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Onions.</w:t>
      </w:r>
    </w:p>
    <w:p>
      <w:pPr>
        <w:pStyle w:val="Heading2"/>
      </w:pPr>
      <w:r>
        <w:t>4.2  Lighting (C2)</w:t>
      </w:r>
    </w:p>
    <w:p>
      <w:r>
        <w:rPr>
          <w:b w:val="0"/>
          <w:i w:val="0"/>
          <w:sz w:val="20"/>
        </w:rPr>
        <w:t>Permanent LED lighting is installed in the receival bay (300 lux) and the office area only. The grading and inspection section of the shed relies on natural light from the north-facing roller door opening. No fixed artificial lighting is installed in the grading zone — operators use portable work lights during overcast conditions.</w:t>
      </w:r>
    </w:p>
    <w:p>
      <w:pPr>
        <w:pStyle w:val="Heading2"/>
      </w:pPr>
      <w:r>
        <w:t>4.3  Handwashing and Toilet Facilities (C3)</w:t>
      </w:r>
    </w:p>
    <w:p>
      <w:r>
        <w:rPr>
          <w:b w:val="0"/>
          <w:i w:val="0"/>
          <w:sz w:val="20"/>
        </w:rPr>
        <w:t>Converted amenities: 1 toilet, 2 hand basins — insulated hot-water system, soap and single-use paper towels. Amenities connected to main processing building via covered walkway. In-line handwash basin at processing floor entry point.</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Purpose-built construction with cleanability designed in: coved epoxy floors, smooth coated-steel wall panels, no horizontal ledges on equipment or structure, all joints sealed with food-grade silicone, recessed floor drain channels with removable SS covers. Annual deep-clean by specialist contractor supplements weekly programme.</w:t>
      </w:r>
    </w:p>
    <w:p>
      <w:pPr>
        <w:pStyle w:val="Heading2"/>
      </w:pPr>
      <w:r>
        <w:t>5.2  Contamination and Pest Harbourage Minimisation (C5)</w:t>
      </w:r>
    </w:p>
    <w:p>
      <w:r>
        <w:rPr>
          <w:b w:val="0"/>
          <w:i w:val="0"/>
          <w:sz w:val="20"/>
        </w:rPr>
        <w:t>Building envelope sealed to export standard: galvanised mesh (6 mm) on all openings; door brush seals replaced every 2 years; expansion joints filled with flexible polyurethane; no open eaves — soffit board sealed to top of wall cladding; all roof penetrations (vents, conduits) flashed and sealed. No horizontal structural members without drainage slope.</w:t>
      </w:r>
    </w:p>
    <w:p>
      <w:pPr>
        <w:pStyle w:val="Heading2"/>
      </w:pPr>
      <w:r>
        <w:t>5.3  Waste Disposal Design (C6)</w:t>
      </w:r>
    </w:p>
    <w:p>
      <w:r>
        <w:rPr>
          <w:b w:val="0"/>
          <w:i w:val="0"/>
          <w:sz w:val="20"/>
        </w:rPr>
        <w:t>Waste disposal: bunded concrete waste pad (4×6 m, 150 mm kerb on 3 sides) adjacent to building for solid waste collection in sealed lidded bins; liquid waste to licensed grease-trap and sewer connection; dust collection by wet scrubber — effluent to contained holding pond; all chemical waste in labelled containers in chemical store for licensed disposal. Records maintained.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Management SOP (WM-SOP-183, version 2.3, current): specifies waste stream segregation, bin placement, collection frequencies and disposal methods. Reviewed bi-annually. Non-conformances logged in the corrective action register. Accessible to all staff on site intranet.</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Fruit culls and trim waste</w:t>
            </w:r>
          </w:p>
        </w:tc>
        <w:tc>
          <w:tcPr>
            <w:tcW w:type="dxa" w:w="4252"/>
            <w:shd w:val="clear" w:color="auto" w:fill="FFFFFF"/>
            <w:vAlign w:val="center"/>
          </w:tcPr>
          <w:p>
            <w:r>
              <w:rPr>
                <w:sz w:val="18"/>
              </w:rPr>
              <w:t>Bins at grading line, hourly removal to compost bay</w:t>
            </w:r>
          </w:p>
        </w:tc>
        <w:tc>
          <w:tcPr>
            <w:tcW w:type="dxa" w:w="2835"/>
            <w:shd w:val="clear" w:color="auto" w:fill="FFFFFF"/>
            <w:vAlign w:val="center"/>
          </w:tcPr>
          <w:p>
            <w:r>
              <w:rPr>
                <w:sz w:val="18"/>
              </w:rPr>
              <w:t>Daily</w:t>
            </w:r>
          </w:p>
        </w:tc>
      </w:tr>
      <w:tr>
        <w:tc>
          <w:tcPr>
            <w:tcW w:type="dxa" w:w="2835"/>
            <w:shd w:val="clear" w:color="auto" w:fill="F2F2F2"/>
            <w:vAlign w:val="center"/>
          </w:tcPr>
          <w:p>
            <w:r>
              <w:rPr>
                <w:sz w:val="18"/>
              </w:rPr>
              <w:t>Washdown water</w:t>
            </w:r>
          </w:p>
        </w:tc>
        <w:tc>
          <w:tcPr>
            <w:tcW w:type="dxa" w:w="4252"/>
            <w:shd w:val="clear" w:color="auto" w:fill="F2F2F2"/>
            <w:vAlign w:val="center"/>
          </w:tcPr>
          <w:p>
            <w:r>
              <w:rPr>
                <w:sz w:val="18"/>
              </w:rPr>
              <w:t>Recessed drains → grease trap → trade waste</w:t>
            </w:r>
          </w:p>
        </w:tc>
        <w:tc>
          <w:tcPr>
            <w:tcW w:type="dxa" w:w="2835"/>
            <w:shd w:val="clear" w:color="auto" w:fill="F2F2F2"/>
            <w:vAlign w:val="center"/>
          </w:tcPr>
          <w:p>
            <w:r>
              <w:rPr>
                <w:sz w:val="18"/>
              </w:rPr>
              <w:t>Weekly grease trap inspection</w:t>
            </w:r>
          </w:p>
        </w:tc>
      </w:tr>
      <w:tr>
        <w:tc>
          <w:tcPr>
            <w:tcW w:type="dxa" w:w="2835"/>
            <w:shd w:val="clear" w:color="auto" w:fill="FFFFFF"/>
            <w:vAlign w:val="center"/>
          </w:tcPr>
          <w:p>
            <w:r>
              <w:rPr>
                <w:sz w:val="18"/>
              </w:rPr>
              <w:t>Packaging waste (film, cardboard, foam)</w:t>
            </w:r>
          </w:p>
        </w:tc>
        <w:tc>
          <w:tcPr>
            <w:tcW w:type="dxa" w:w="4252"/>
            <w:shd w:val="clear" w:color="auto" w:fill="FFFFFF"/>
            <w:vAlign w:val="center"/>
          </w:tcPr>
          <w:p>
            <w:r>
              <w:rPr>
                <w:sz w:val="18"/>
              </w:rPr>
              <w:t>Baler in external waste bay</w:t>
            </w:r>
          </w:p>
        </w:tc>
        <w:tc>
          <w:tcPr>
            <w:tcW w:type="dxa" w:w="2835"/>
            <w:shd w:val="clear" w:color="auto" w:fill="FFFFFF"/>
            <w:vAlign w:val="center"/>
          </w:tcPr>
          <w:p>
            <w:r>
              <w:rPr>
                <w:sz w:val="18"/>
              </w:rPr>
              <w:t>Fortnightly collection</w:t>
            </w:r>
          </w:p>
        </w:tc>
      </w:tr>
      <w:tr>
        <w:tc>
          <w:tcPr>
            <w:tcW w:type="dxa" w:w="2835"/>
            <w:shd w:val="clear" w:color="auto" w:fill="F2F2F2"/>
            <w:vAlign w:val="center"/>
          </w:tcPr>
          <w:p>
            <w:r>
              <w:rPr>
                <w:sz w:val="18"/>
              </w:rPr>
              <w:t>Chemical containers</w:t>
            </w:r>
          </w:p>
        </w:tc>
        <w:tc>
          <w:tcPr>
            <w:tcW w:type="dxa" w:w="4252"/>
            <w:shd w:val="clear" w:color="auto" w:fill="F2F2F2"/>
            <w:vAlign w:val="center"/>
          </w:tcPr>
          <w:p>
            <w:r>
              <w:rPr>
                <w:sz w:val="18"/>
              </w:rPr>
              <w:t>Sealed store, labelled</w:t>
            </w:r>
          </w:p>
        </w:tc>
        <w:tc>
          <w:tcPr>
            <w:tcW w:type="dxa" w:w="2835"/>
            <w:shd w:val="clear" w:color="auto" w:fill="F2F2F2"/>
            <w:vAlign w:val="center"/>
          </w:tcPr>
          <w:p>
            <w:r>
              <w:rPr>
                <w:sz w:val="18"/>
              </w:rPr>
              <w:t>Quarterly licensed disposal</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Internal inspection results: floor — no accumulated debris in corners or wall bases; equipment — all conveyor belts, rollers and hoppers clean; overhead structure — free from hanging debris; drains — clear and odour-free; amenities — clean with full consumable stocks. Last full deep-clean: 8 weeks prior to this assessment.</w:t>
      </w:r>
    </w:p>
    <w:p>
      <w:pPr>
        <w:pStyle w:val="Heading2"/>
      </w:pPr>
      <w:r>
        <w:t>7.2  Pest Condition (C9)</w:t>
      </w:r>
    </w:p>
    <w:p>
      <w:r>
        <w:rPr>
          <w:b w:val="0"/>
          <w:i w:val="0"/>
          <w:sz w:val="20"/>
        </w:rPr>
        <w:t>Current pest status: all monitoring indicators within acceptable range. Rodent bait consumption at routine background level. Insect sticky traps show no grain storage pest species. No evidence of bird entry. Bait station register up to date and signed by licensed pest management technician (last service: March 2025).</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Energex/Ergon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bore licence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Amy Schultz</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5 October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