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Moora Grain and Pulse</w:t>
            </w:r>
          </w:p>
        </w:tc>
      </w:tr>
      <w:tr>
        <w:tc>
          <w:tcPr>
            <w:tcW w:type="dxa" w:w="4536"/>
            <w:shd w:val="clear" w:color="auto" w:fill="1F497D"/>
            <w:vAlign w:val="center"/>
          </w:tcPr>
          <w:p>
            <w:r>
              <w:rPr>
                <w:b/>
                <w:color w:val="FFFFFF"/>
                <w:sz w:val="18"/>
              </w:rPr>
              <w:t>RE Number</w:t>
            </w:r>
          </w:p>
        </w:tc>
        <w:tc>
          <w:tcPr>
            <w:tcW w:type="dxa" w:w="4536"/>
          </w:tcPr>
          <w:p>
            <w:r>
              <w:rPr>
                <w:sz w:val="18"/>
              </w:rPr>
              <w:t>RE-WA-2023-0055</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Lot 18 Brand Highway, Moora WA 6510</w:t>
            </w:r>
          </w:p>
        </w:tc>
      </w:tr>
      <w:tr>
        <w:tc>
          <w:tcPr>
            <w:tcW w:type="dxa" w:w="4536"/>
            <w:shd w:val="clear" w:color="auto" w:fill="1F497D"/>
            <w:vAlign w:val="center"/>
          </w:tcPr>
          <w:p>
            <w:r>
              <w:rPr>
                <w:b/>
                <w:color w:val="FFFFFF"/>
                <w:sz w:val="18"/>
              </w:rPr>
              <w:t>Registered Commodity</w:t>
            </w:r>
          </w:p>
        </w:tc>
        <w:tc>
          <w:tcPr>
            <w:tcW w:type="dxa" w:w="4536"/>
          </w:tcPr>
          <w:p>
            <w:r>
              <w:rPr>
                <w:sz w:val="18"/>
              </w:rPr>
              <w:t>Barley</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Ian Schiller</w:t>
            </w:r>
          </w:p>
        </w:tc>
      </w:tr>
      <w:tr>
        <w:tc>
          <w:tcPr>
            <w:tcW w:type="dxa" w:w="4536"/>
            <w:shd w:val="clear" w:color="auto" w:fill="1F497D"/>
            <w:vAlign w:val="center"/>
          </w:tcPr>
          <w:p>
            <w:r>
              <w:rPr>
                <w:b/>
                <w:color w:val="FFFFFF"/>
                <w:sz w:val="18"/>
              </w:rPr>
              <w:t>Property Area</w:t>
            </w:r>
          </w:p>
        </w:tc>
        <w:tc>
          <w:tcPr>
            <w:tcW w:type="dxa" w:w="4536"/>
          </w:tcPr>
          <w:p>
            <w:r>
              <w:rPr>
                <w:sz w:val="18"/>
              </w:rPr>
              <w:t>620.0 ha</w:t>
            </w:r>
          </w:p>
        </w:tc>
      </w:tr>
      <w:tr>
        <w:tc>
          <w:tcPr>
            <w:tcW w:type="dxa" w:w="4536"/>
            <w:shd w:val="clear" w:color="auto" w:fill="1F497D"/>
            <w:vAlign w:val="center"/>
          </w:tcPr>
          <w:p>
            <w:r>
              <w:rPr>
                <w:b/>
                <w:color w:val="FFFFFF"/>
                <w:sz w:val="18"/>
              </w:rPr>
              <w:t>Document Version</w:t>
            </w:r>
          </w:p>
        </w:tc>
        <w:tc>
          <w:tcPr>
            <w:tcW w:type="dxa" w:w="4536"/>
          </w:tcPr>
          <w:p>
            <w:r>
              <w:rPr>
                <w:sz w:val="18"/>
              </w:rPr>
              <w:t>3.3</w:t>
            </w:r>
          </w:p>
        </w:tc>
      </w:tr>
      <w:tr>
        <w:tc>
          <w:tcPr>
            <w:tcW w:type="dxa" w:w="4536"/>
            <w:shd w:val="clear" w:color="auto" w:fill="1F497D"/>
            <w:vAlign w:val="center"/>
          </w:tcPr>
          <w:p>
            <w:r>
              <w:rPr>
                <w:b/>
                <w:color w:val="FFFFFF"/>
                <w:sz w:val="18"/>
              </w:rPr>
              <w:t>Plan Date</w:t>
            </w:r>
          </w:p>
        </w:tc>
        <w:tc>
          <w:tcPr>
            <w:tcW w:type="dxa" w:w="4536"/>
          </w:tcPr>
          <w:p>
            <w:r>
              <w:rPr>
                <w:sz w:val="18"/>
              </w:rPr>
              <w:t>3 April 2025</w:t>
            </w:r>
          </w:p>
        </w:tc>
      </w:tr>
      <w:tr>
        <w:tc>
          <w:tcPr>
            <w:tcW w:type="dxa" w:w="4536"/>
            <w:shd w:val="clear" w:color="auto" w:fill="1F497D"/>
            <w:vAlign w:val="center"/>
          </w:tcPr>
          <w:p>
            <w:r>
              <w:rPr>
                <w:b/>
                <w:color w:val="FFFFFF"/>
                <w:sz w:val="18"/>
              </w:rPr>
              <w:t>Next Review</w:t>
            </w:r>
          </w:p>
        </w:tc>
        <w:tc>
          <w:tcPr>
            <w:tcW w:type="dxa" w:w="4536"/>
          </w:tcPr>
          <w:p>
            <w:r>
              <w:rPr>
                <w:sz w:val="18"/>
              </w:rPr>
              <w:t>3 April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Cleaning and hygiene requirements for the packing shed and grading area are described in this plan. Procedures for other areas are under development.</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Barley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Ian Schiller</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Packing Shed / Export Bay</w:t>
            </w:r>
          </w:p>
        </w:tc>
        <w:tc>
          <w:tcPr>
            <w:tcW w:type="dxa" w:w="1512"/>
            <w:shd w:val="clear" w:color="auto" w:fill="FFFFFF"/>
            <w:vAlign w:val="top"/>
            <w:tcW w:w="1417" w:type="dxa"/>
          </w:tcPr>
          <w:p>
            <w:r>
              <w:rPr>
                <w:sz w:val="18"/>
              </w:rPr>
              <w:t>Daily</w:t>
            </w:r>
          </w:p>
        </w:tc>
        <w:tc>
          <w:tcPr>
            <w:tcW w:type="dxa" w:w="1512"/>
            <w:shd w:val="clear" w:color="auto" w:fill="FFFFFF"/>
            <w:vAlign w:val="top"/>
            <w:tcW w:w="3118" w:type="dxa"/>
          </w:tcPr>
          <w:p>
            <w:r>
              <w:rPr>
                <w:sz w:val="18"/>
              </w:rPr>
              <w:t>Sweep floor. Wipe surfaces. Remove waste and packaging debris. Mop with cleaning solution.</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Packing Shed / Export Bay</w:t>
      </w:r>
    </w:p>
    <w:p>
      <w:r>
        <w:rPr>
          <w:b w:val="0"/>
          <w:i w:val="0"/>
          <w:sz w:val="20"/>
        </w:rPr>
        <w:t>Daily end-of-shift: Sweep all floor areas using industrial broom, directing grain debris to collection point. Remove waste and used packaging materials to the designated waste bay. Prepare ProClean 200 solution at 1:50 dilution. Mop packing shed floor ensuring coverage under pallets and equipment. Wipe packing benches and work surfaces with damp cloth. Allow floor to dry before overnight storage access. Record in Daily Cleaning Log.</w:t>
      </w:r>
    </w:p>
    <w:p>
      <w:pPr>
        <w:pStyle w:val="Heading2"/>
      </w:pPr>
      <w:r>
        <w:t>Amenities / Toilets / Lunchroom</w:t>
      </w:r>
    </w:p>
    <w:p>
      <w:r>
        <w:rPr>
          <w:b w:val="0"/>
          <w:i w:val="0"/>
          <w:sz w:val="20"/>
        </w:rPr>
        <w:t>Designated staff are responsible for maintaining the Amenities / Toilets / Lunchroom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The establishment manager or nominated supervisor conducts a visual inspection of all cleaned areas prior to production commencement. Any deficiency identified is corrected before the area is cleared for use.</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most recent quarterly hygiene review at Moora Grain and Pulse (conducted 3 April 2025) confirmed that all areas are maintained in accordance with this Hygiene and Sanitation Plan. No corrective actions outstanding.</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Ian Schiller</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3 April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3 April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