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0391C" w14:textId="77777777" w:rsidR="0020630C" w:rsidRDefault="00000000" w:rsidP="00610C9B">
      <w:pPr>
        <w:spacing w:after="240"/>
      </w:pPr>
      <w:r>
        <w:rPr>
          <w:b/>
          <w:sz w:val="32"/>
        </w:rPr>
        <w:t>FRECA: Farm Registered Establishment Compliance Audit</w:t>
      </w:r>
    </w:p>
    <w:p w14:paraId="426BAF07" w14:textId="77777777" w:rsidR="0020630C" w:rsidRDefault="00000000">
      <w:pPr>
        <w:spacing w:before="240" w:after="80"/>
      </w:pPr>
      <w:r>
        <w:rPr>
          <w:b/>
          <w:sz w:val="26"/>
        </w:rPr>
        <w:t>1. Background</w:t>
      </w:r>
    </w:p>
    <w:p w14:paraId="382680CD" w14:textId="77777777" w:rsidR="0020630C" w:rsidRDefault="00000000">
      <w:pPr>
        <w:spacing w:after="120"/>
      </w:pPr>
      <w:r>
        <w:t>Australian agricultural exporters must operate under Registered Establishments (REs) that comply with the Export Control (Plants and Plant Products) Rules 2021 ("the Rules"). Regulatory auditors inspect each RE against a structured set of checking points spanning four compliance elements: registration and documentation, physical infrastructure, operational controls, and traceability and security.</w:t>
      </w:r>
    </w:p>
    <w:p w14:paraId="38280979" w14:textId="77777777" w:rsidR="0020630C" w:rsidRDefault="00000000">
      <w:pPr>
        <w:spacing w:after="120"/>
      </w:pPr>
      <w:r>
        <w:t>Manual audit review is time-consuming and requires deep policy knowledge. This competition challenges participants to build AI systems that can reason over real-world farm evidence and return audit verdicts at scale — matching the judgement of an experienced compliance auditor.</w:t>
      </w:r>
    </w:p>
    <w:p w14:paraId="730027FE" w14:textId="77777777" w:rsidR="0020630C" w:rsidRDefault="00000000">
      <w:pPr>
        <w:spacing w:before="240" w:after="80"/>
      </w:pPr>
      <w:r>
        <w:rPr>
          <w:b/>
          <w:sz w:val="26"/>
        </w:rPr>
        <w:t>2. Task Introduction</w:t>
      </w:r>
    </w:p>
    <w:p w14:paraId="680B2E96" w14:textId="77777777" w:rsidR="0020630C" w:rsidRDefault="00000000">
      <w:pPr>
        <w:spacing w:after="120"/>
      </w:pPr>
      <w:r>
        <w:t>Each farm case contains nine evidence tracks submitted by the farm:</w:t>
      </w:r>
    </w:p>
    <w:p w14:paraId="10071F50" w14:textId="77777777" w:rsidR="0020630C" w:rsidRDefault="00000000">
      <w:pPr>
        <w:pStyle w:val="ListBullet"/>
        <w:spacing w:after="60"/>
      </w:pPr>
      <w:r>
        <w:rPr>
          <w:b/>
        </w:rPr>
        <w:t xml:space="preserve">Track 1: </w:t>
      </w:r>
      <w:r>
        <w:t>Establishment Registration Application Form</w:t>
      </w:r>
    </w:p>
    <w:p w14:paraId="7C490C56" w14:textId="77777777" w:rsidR="0020630C" w:rsidRDefault="00000000">
      <w:pPr>
        <w:pStyle w:val="ListBullet"/>
        <w:spacing w:after="60"/>
      </w:pPr>
      <w:r>
        <w:rPr>
          <w:b/>
        </w:rPr>
        <w:t xml:space="preserve">Track 2: </w:t>
      </w:r>
      <w:r>
        <w:t>HACCP Plan</w:t>
      </w:r>
    </w:p>
    <w:p w14:paraId="196B3C00" w14:textId="77777777" w:rsidR="0020630C" w:rsidRDefault="00000000">
      <w:pPr>
        <w:pStyle w:val="ListBullet"/>
        <w:spacing w:after="60"/>
      </w:pPr>
      <w:r>
        <w:rPr>
          <w:b/>
        </w:rPr>
        <w:t xml:space="preserve">Track 3: </w:t>
      </w:r>
      <w:r>
        <w:t>Pest Control Record</w:t>
      </w:r>
    </w:p>
    <w:p w14:paraId="41E9901C" w14:textId="77777777" w:rsidR="0020630C" w:rsidRDefault="00000000">
      <w:pPr>
        <w:pStyle w:val="ListBullet"/>
        <w:spacing w:after="60"/>
      </w:pPr>
      <w:r>
        <w:rPr>
          <w:b/>
        </w:rPr>
        <w:t xml:space="preserve">Track 4: </w:t>
      </w:r>
      <w:r>
        <w:t>Farm Management Plan</w:t>
      </w:r>
    </w:p>
    <w:p w14:paraId="384A6048" w14:textId="77777777" w:rsidR="0020630C" w:rsidRDefault="00000000">
      <w:pPr>
        <w:pStyle w:val="ListBullet"/>
        <w:spacing w:after="60"/>
      </w:pPr>
      <w:r>
        <w:rPr>
          <w:b/>
        </w:rPr>
        <w:t xml:space="preserve">Track 5: </w:t>
      </w:r>
      <w:r>
        <w:t>Farm Site Plan</w:t>
      </w:r>
    </w:p>
    <w:p w14:paraId="185C8965" w14:textId="77777777" w:rsidR="0020630C" w:rsidRDefault="00000000">
      <w:pPr>
        <w:pStyle w:val="ListBullet"/>
        <w:spacing w:after="60"/>
      </w:pPr>
      <w:r>
        <w:rPr>
          <w:b/>
        </w:rPr>
        <w:t xml:space="preserve">Track 6: </w:t>
      </w:r>
      <w:r>
        <w:t>Farm Hygiene and Sanitation Plan</w:t>
      </w:r>
    </w:p>
    <w:p w14:paraId="310F9600" w14:textId="77777777" w:rsidR="0020630C" w:rsidRDefault="00000000">
      <w:pPr>
        <w:pStyle w:val="ListBullet"/>
        <w:spacing w:after="60"/>
      </w:pPr>
      <w:r>
        <w:rPr>
          <w:b/>
        </w:rPr>
        <w:t xml:space="preserve">Track 7: </w:t>
      </w:r>
      <w:r>
        <w:t>Bait Station Map</w:t>
      </w:r>
    </w:p>
    <w:p w14:paraId="3DFA3B38" w14:textId="77777777" w:rsidR="0020630C" w:rsidRDefault="00000000">
      <w:pPr>
        <w:pStyle w:val="ListBullet"/>
        <w:spacing w:after="60"/>
      </w:pPr>
      <w:r>
        <w:rPr>
          <w:b/>
        </w:rPr>
        <w:t xml:space="preserve">Track 8: </w:t>
      </w:r>
      <w:r>
        <w:t>Phytosanitary Security Procedure</w:t>
      </w:r>
    </w:p>
    <w:p w14:paraId="43BE962E" w14:textId="77777777" w:rsidR="0020630C" w:rsidRDefault="00000000">
      <w:pPr>
        <w:pStyle w:val="ListBullet"/>
        <w:spacing w:after="60"/>
      </w:pPr>
      <w:r>
        <w:rPr>
          <w:b/>
        </w:rPr>
        <w:t xml:space="preserve">Track 9: </w:t>
      </w:r>
      <w:r>
        <w:t>Traceability Records</w:t>
      </w:r>
    </w:p>
    <w:p w14:paraId="01943D74" w14:textId="77777777" w:rsidR="0020630C" w:rsidRDefault="0020630C">
      <w:pPr>
        <w:spacing w:before="80" w:after="40"/>
      </w:pPr>
    </w:p>
    <w:p w14:paraId="2F063D58" w14:textId="77777777" w:rsidR="0020630C" w:rsidRDefault="00000000">
      <w:pPr>
        <w:spacing w:after="120"/>
      </w:pPr>
      <w:r>
        <w:t>For each case, participants must audit 41 checking points (CP1–CP41) drawn from four compliance elements of the Rules. Each verdict must be one of:</w:t>
      </w:r>
    </w:p>
    <w:p w14:paraId="1D6C2746" w14:textId="77777777" w:rsidR="0020630C" w:rsidRDefault="00000000">
      <w:pPr>
        <w:pStyle w:val="ListBullet"/>
        <w:spacing w:after="60"/>
      </w:pPr>
      <w:r>
        <w:rPr>
          <w:b/>
        </w:rPr>
        <w:t xml:space="preserve">1 — Compliant: </w:t>
      </w:r>
      <w:r>
        <w:t>the evidence satisfies the checking point.</w:t>
      </w:r>
    </w:p>
    <w:p w14:paraId="592B604A" w14:textId="77777777" w:rsidR="0020630C" w:rsidRDefault="00000000">
      <w:pPr>
        <w:pStyle w:val="ListBullet"/>
        <w:spacing w:after="60"/>
      </w:pPr>
      <w:r>
        <w:rPr>
          <w:b/>
        </w:rPr>
        <w:t xml:space="preserve">0 — Non-compliant: </w:t>
      </w:r>
      <w:r>
        <w:t>the evidence fails or contradicts the checking point.</w:t>
      </w:r>
    </w:p>
    <w:p w14:paraId="7019CD63" w14:textId="77777777" w:rsidR="0020630C" w:rsidRDefault="00000000">
      <w:pPr>
        <w:pStyle w:val="ListBullet"/>
        <w:spacing w:after="60"/>
      </w:pPr>
      <w:r>
        <w:rPr>
          <w:b/>
        </w:rPr>
        <w:t xml:space="preserve">N/A — Not applicable: </w:t>
      </w:r>
      <w:r>
        <w:t>the checking point does not apply to this farm's registered operations.</w:t>
      </w:r>
    </w:p>
    <w:p w14:paraId="28E930AC" w14:textId="77777777" w:rsidR="0020630C" w:rsidRDefault="00000000">
      <w:pPr>
        <w:spacing w:before="240" w:after="80"/>
      </w:pPr>
      <w:r>
        <w:rPr>
          <w:b/>
          <w:sz w:val="26"/>
        </w:rPr>
        <w:t>3. Compliance Elements and Checking Points</w:t>
      </w:r>
    </w:p>
    <w:p w14:paraId="14FD0AEE" w14:textId="77777777" w:rsidR="0020630C" w:rsidRDefault="00000000">
      <w:pPr>
        <w:spacing w:after="120"/>
      </w:pPr>
      <w:r>
        <w:t>The 41 checking points are grouped into four elements. The full text of each checking point is provided in checkingpoints_all_elements_onesheet.xlsx.</w:t>
      </w:r>
    </w:p>
    <w:p w14:paraId="4A991B23" w14:textId="77777777" w:rsidR="0020630C" w:rsidRDefault="00000000">
      <w:pPr>
        <w:spacing w:before="120" w:after="40"/>
      </w:pPr>
      <w:r>
        <w:rPr>
          <w:b/>
        </w:rPr>
        <w:t>Element 1 — Registration &amp; Documentation (CP1–CP7)</w:t>
      </w:r>
    </w:p>
    <w:p w14:paraId="6EB2DCE9" w14:textId="77777777" w:rsidR="0020630C" w:rsidRDefault="00000000">
      <w:pPr>
        <w:pStyle w:val="ListBullet"/>
        <w:spacing w:after="60"/>
      </w:pPr>
      <w:r>
        <w:rPr>
          <w:b/>
        </w:rPr>
        <w:t xml:space="preserve">1.1  Export Operations (CP1–CP2): </w:t>
      </w:r>
      <w:r>
        <w:t>establishment operates within its registered scope.</w:t>
      </w:r>
    </w:p>
    <w:p w14:paraId="5ED1D69F" w14:textId="77777777" w:rsidR="0020630C" w:rsidRDefault="00000000">
      <w:pPr>
        <w:pStyle w:val="ListBullet"/>
        <w:spacing w:after="60"/>
      </w:pPr>
      <w:r>
        <w:rPr>
          <w:b/>
        </w:rPr>
        <w:t xml:space="preserve">1.2  Plans &amp; Specifications (CP3–CP5): </w:t>
      </w:r>
      <w:r>
        <w:t>site plans document registered area, layout, and fixtures.</w:t>
      </w:r>
    </w:p>
    <w:p w14:paraId="332374E5" w14:textId="77777777" w:rsidR="0020630C" w:rsidRDefault="00000000">
      <w:pPr>
        <w:pStyle w:val="ListBullet"/>
        <w:spacing w:after="60"/>
      </w:pPr>
      <w:r>
        <w:rPr>
          <w:b/>
        </w:rPr>
        <w:lastRenderedPageBreak/>
        <w:t xml:space="preserve">1.3  Changes &amp; Alterations (CP6–CP7): </w:t>
      </w:r>
      <w:r>
        <w:t>notifications and approvals for any structural or administrative changes.</w:t>
      </w:r>
    </w:p>
    <w:p w14:paraId="72483494" w14:textId="77777777" w:rsidR="0020630C" w:rsidRDefault="00000000">
      <w:pPr>
        <w:spacing w:before="120" w:after="40"/>
      </w:pPr>
      <w:r>
        <w:rPr>
          <w:b/>
        </w:rPr>
        <w:t>Element 2 — Physical Infrastructure (CP8–CP16)</w:t>
      </w:r>
    </w:p>
    <w:p w14:paraId="5716053B" w14:textId="77777777" w:rsidR="0020630C" w:rsidRDefault="00000000">
      <w:pPr>
        <w:pStyle w:val="ListBullet"/>
        <w:spacing w:after="60"/>
      </w:pPr>
      <w:r>
        <w:rPr>
          <w:b/>
        </w:rPr>
        <w:t xml:space="preserve">2.1  Buildings, Equipment &amp; Facilities (CP8–CP10): </w:t>
      </w:r>
      <w:r>
        <w:t>adequate lighting, hand-washing, and toilet facilities.</w:t>
      </w:r>
    </w:p>
    <w:p w14:paraId="02D37ED4" w14:textId="77777777" w:rsidR="0020630C" w:rsidRDefault="00000000">
      <w:pPr>
        <w:pStyle w:val="ListBullet"/>
        <w:spacing w:after="60"/>
      </w:pPr>
      <w:r>
        <w:rPr>
          <w:b/>
        </w:rPr>
        <w:t xml:space="preserve">2.2  Design &amp; Construction (CP11–CP13): </w:t>
      </w:r>
      <w:r>
        <w:t>premises allow effective cleaning, pest exclusion, and waste disposal.</w:t>
      </w:r>
    </w:p>
    <w:p w14:paraId="06B54F0E" w14:textId="77777777" w:rsidR="0020630C" w:rsidRDefault="00000000">
      <w:pPr>
        <w:pStyle w:val="ListBullet"/>
        <w:spacing w:after="60"/>
      </w:pPr>
      <w:r>
        <w:rPr>
          <w:b/>
        </w:rPr>
        <w:t xml:space="preserve">2.3  Inspection Areas (CP14): </w:t>
      </w:r>
      <w:r>
        <w:t>inspection benches and sampling facilities meet Authorised Officer requirements.</w:t>
      </w:r>
    </w:p>
    <w:p w14:paraId="74A67CDD" w14:textId="77777777" w:rsidR="0020630C" w:rsidRDefault="00000000">
      <w:pPr>
        <w:pStyle w:val="ListBullet"/>
        <w:spacing w:after="60"/>
      </w:pPr>
      <w:r>
        <w:rPr>
          <w:b/>
        </w:rPr>
        <w:t xml:space="preserve">2.4  Screening (CP15–CP16): </w:t>
      </w:r>
      <w:r>
        <w:t>physical controls manage large contaminant risks.</w:t>
      </w:r>
    </w:p>
    <w:p w14:paraId="321124A3" w14:textId="77777777" w:rsidR="0020630C" w:rsidRDefault="00000000">
      <w:pPr>
        <w:spacing w:before="120" w:after="40"/>
      </w:pPr>
      <w:r>
        <w:rPr>
          <w:b/>
        </w:rPr>
        <w:t>Element 3 — Operational Controls (CP17–CP28)</w:t>
      </w:r>
    </w:p>
    <w:p w14:paraId="56B73D3B" w14:textId="77777777" w:rsidR="0020630C" w:rsidRDefault="00000000">
      <w:pPr>
        <w:pStyle w:val="ListBullet"/>
        <w:spacing w:after="60"/>
      </w:pPr>
      <w:r>
        <w:rPr>
          <w:b/>
        </w:rPr>
        <w:t xml:space="preserve">3.1  Hygiene &amp; Waste Control (CP17–CP19): </w:t>
      </w:r>
      <w:r>
        <w:t>documented and effective hygiene and waste management systems.</w:t>
      </w:r>
    </w:p>
    <w:p w14:paraId="4EB4ED3B" w14:textId="77777777" w:rsidR="0020630C" w:rsidRDefault="00000000">
      <w:pPr>
        <w:pStyle w:val="ListBullet"/>
        <w:spacing w:after="60"/>
      </w:pPr>
      <w:r>
        <w:rPr>
          <w:b/>
        </w:rPr>
        <w:t xml:space="preserve">3.2  Pest Control (CP20–CP21): </w:t>
      </w:r>
      <w:r>
        <w:t>documented and effective pest management systems.</w:t>
      </w:r>
    </w:p>
    <w:p w14:paraId="0DFDC063" w14:textId="77777777" w:rsidR="0020630C" w:rsidRDefault="00000000">
      <w:pPr>
        <w:pStyle w:val="ListBullet"/>
        <w:spacing w:after="60"/>
      </w:pPr>
      <w:r>
        <w:rPr>
          <w:b/>
        </w:rPr>
        <w:t xml:space="preserve">3.3  Record Keeping (CP22–CP23): </w:t>
      </w:r>
      <w:r>
        <w:t>≥2 years of hygiene, waste, and pest control records in English.</w:t>
      </w:r>
    </w:p>
    <w:p w14:paraId="5ACA422C" w14:textId="77777777" w:rsidR="0020630C" w:rsidRDefault="00000000">
      <w:pPr>
        <w:pStyle w:val="ListBullet"/>
        <w:spacing w:after="60"/>
      </w:pPr>
      <w:r>
        <w:rPr>
          <w:b/>
        </w:rPr>
        <w:t xml:space="preserve">3.4  Establishment Condition — Hygiene (CP24): </w:t>
      </w:r>
      <w:r>
        <w:t>all areas clean and hygienic.</w:t>
      </w:r>
    </w:p>
    <w:p w14:paraId="1C597245" w14:textId="77777777" w:rsidR="0020630C" w:rsidRDefault="00000000">
      <w:pPr>
        <w:pStyle w:val="ListBullet"/>
        <w:spacing w:after="60"/>
      </w:pPr>
      <w:r>
        <w:rPr>
          <w:b/>
        </w:rPr>
        <w:t xml:space="preserve">3.5  Establishment Condition — Pest (CP25–CP26): </w:t>
      </w:r>
      <w:r>
        <w:t>pest stations fit for purpose and operational.</w:t>
      </w:r>
    </w:p>
    <w:p w14:paraId="2E818434" w14:textId="77777777" w:rsidR="0020630C" w:rsidRDefault="00000000">
      <w:pPr>
        <w:pStyle w:val="ListBullet"/>
        <w:spacing w:after="60"/>
      </w:pPr>
      <w:r>
        <w:rPr>
          <w:b/>
        </w:rPr>
        <w:t xml:space="preserve">3.6  Chemical Storage (CP27–CP28): </w:t>
      </w:r>
      <w:r>
        <w:t>chemicals stored to prevent product or area contamination.</w:t>
      </w:r>
    </w:p>
    <w:p w14:paraId="39B98F24" w14:textId="77777777" w:rsidR="0020630C" w:rsidRDefault="00000000">
      <w:pPr>
        <w:spacing w:before="120" w:after="40"/>
      </w:pPr>
      <w:r>
        <w:rPr>
          <w:b/>
        </w:rPr>
        <w:t>Element 4 — Traceability &amp; Security (CP29–CP41)</w:t>
      </w:r>
    </w:p>
    <w:p w14:paraId="1EB52029" w14:textId="77777777" w:rsidR="0020630C" w:rsidRDefault="00000000">
      <w:pPr>
        <w:pStyle w:val="ListBullet"/>
        <w:spacing w:after="60"/>
      </w:pPr>
      <w:r>
        <w:rPr>
          <w:b/>
        </w:rPr>
        <w:t xml:space="preserve">4.1  Traceability &amp; Integrity (CP29–CP34): </w:t>
      </w:r>
      <w:r>
        <w:t>end-to-end product traceability, flow charts, and failure management.</w:t>
      </w:r>
    </w:p>
    <w:p w14:paraId="259F94B2" w14:textId="77777777" w:rsidR="0020630C" w:rsidRDefault="00000000">
      <w:pPr>
        <w:pStyle w:val="ListBullet"/>
        <w:spacing w:after="60"/>
      </w:pPr>
      <w:r>
        <w:rPr>
          <w:b/>
        </w:rPr>
        <w:t xml:space="preserve">4.2  Phytosanitary Security (CP35–CP37): </w:t>
      </w:r>
      <w:r>
        <w:t>controls to minimise contamination, substitution, and packaging risks.</w:t>
      </w:r>
    </w:p>
    <w:p w14:paraId="7618354C" w14:textId="77777777" w:rsidR="0020630C" w:rsidRDefault="00000000">
      <w:pPr>
        <w:pStyle w:val="ListBullet"/>
        <w:spacing w:after="60"/>
      </w:pPr>
      <w:r>
        <w:rPr>
          <w:b/>
        </w:rPr>
        <w:t xml:space="preserve">4.3  Record Keeping — Traceability (CP38–CP40): </w:t>
      </w:r>
      <w:r>
        <w:t>≥2 years of receival, movement, treatment, and dispatch records.</w:t>
      </w:r>
    </w:p>
    <w:p w14:paraId="19C18D23" w14:textId="77777777" w:rsidR="0020630C" w:rsidRDefault="00000000">
      <w:pPr>
        <w:pStyle w:val="ListBullet"/>
        <w:spacing w:after="60"/>
      </w:pPr>
      <w:r>
        <w:rPr>
          <w:b/>
        </w:rPr>
        <w:t xml:space="preserve">4.4  Importing Country Requirements (CP41): </w:t>
      </w:r>
      <w:r>
        <w:t>all applicable importing country conditions are met.</w:t>
      </w:r>
    </w:p>
    <w:p w14:paraId="31503A2D" w14:textId="77777777" w:rsidR="0020630C" w:rsidRDefault="00000000">
      <w:pPr>
        <w:spacing w:before="240" w:after="80"/>
      </w:pPr>
      <w:r>
        <w:rPr>
          <w:b/>
          <w:sz w:val="26"/>
        </w:rPr>
        <w:t>4. Dataset</w:t>
      </w:r>
    </w:p>
    <w:p w14:paraId="6DD4AE9B" w14:textId="77777777" w:rsidR="0020630C" w:rsidRDefault="00000000">
      <w:pPr>
        <w:spacing w:after="120"/>
      </w:pPr>
      <w:r>
        <w:t>The dataset is derived from real-world farm compliance cases. Each case is independently labelled by human expert auditors.</w:t>
      </w:r>
    </w:p>
    <w:p w14:paraId="133B5D7B" w14:textId="77777777" w:rsidR="0020630C" w:rsidRDefault="00000000">
      <w:pPr>
        <w:pStyle w:val="ListBullet"/>
        <w:spacing w:after="60"/>
      </w:pPr>
      <w:r>
        <w:rPr>
          <w:b/>
        </w:rPr>
        <w:t xml:space="preserve">Total cases: </w:t>
      </w:r>
      <w:r>
        <w:t>100</w:t>
      </w:r>
    </w:p>
    <w:p w14:paraId="677E042F" w14:textId="77777777" w:rsidR="0020630C" w:rsidRDefault="00000000">
      <w:pPr>
        <w:pStyle w:val="ListBullet"/>
        <w:spacing w:after="60"/>
      </w:pPr>
      <w:r>
        <w:rPr>
          <w:b/>
        </w:rPr>
        <w:t xml:space="preserve">Files per case: </w:t>
      </w:r>
      <w:r>
        <w:t>9 (one per evidence track listed in Section 2)</w:t>
      </w:r>
    </w:p>
    <w:p w14:paraId="68736A5F" w14:textId="77777777" w:rsidR="0020630C" w:rsidRDefault="00000000">
      <w:pPr>
        <w:pStyle w:val="ListBullet"/>
        <w:spacing w:after="60"/>
      </w:pPr>
      <w:r>
        <w:rPr>
          <w:b/>
        </w:rPr>
        <w:t xml:space="preserve">Labels: </w:t>
      </w:r>
      <w:r>
        <w:t>41 verdicts per case (1 / 0 / N/A), verified by human auditors</w:t>
      </w:r>
    </w:p>
    <w:p w14:paraId="2EC49C8C" w14:textId="77777777" w:rsidR="0020630C" w:rsidRDefault="00000000">
      <w:pPr>
        <w:pStyle w:val="ListBullet"/>
        <w:spacing w:after="60"/>
      </w:pPr>
      <w:r>
        <w:rPr>
          <w:b/>
        </w:rPr>
        <w:t xml:space="preserve">Policy reference: </w:t>
      </w:r>
      <w:r>
        <w:t>Export Control (Plants and Plant Products) Rules 2021 (full-text PDF provided)</w:t>
      </w:r>
    </w:p>
    <w:p w14:paraId="47B67F20" w14:textId="77777777" w:rsidR="0020630C" w:rsidRDefault="00000000">
      <w:pPr>
        <w:pStyle w:val="ListBullet"/>
        <w:spacing w:after="60"/>
      </w:pPr>
      <w:r>
        <w:rPr>
          <w:b/>
        </w:rPr>
        <w:lastRenderedPageBreak/>
        <w:t xml:space="preserve">Checking point definitions: </w:t>
      </w:r>
      <w:r>
        <w:t>checkingpoints_all_elements_onesheet.xlsx (one row per element; one column per CP)</w:t>
      </w:r>
    </w:p>
    <w:p w14:paraId="3F37C76A" w14:textId="77777777" w:rsidR="0020630C" w:rsidRDefault="0020630C">
      <w:pPr>
        <w:spacing w:before="40" w:after="40"/>
      </w:pPr>
    </w:p>
    <w:p w14:paraId="59EA10B6" w14:textId="77777777" w:rsidR="0020630C" w:rsidRDefault="00000000">
      <w:pPr>
        <w:spacing w:after="120"/>
      </w:pPr>
      <w:r>
        <w:t>Participants should reason across all nine evidence files for each case. Evidence may be incomplete, ambiguous, or contradictory — mirroring real audit conditions.</w:t>
      </w:r>
    </w:p>
    <w:p w14:paraId="039002D8" w14:textId="77777777" w:rsidR="0020630C" w:rsidRDefault="00000000">
      <w:pPr>
        <w:spacing w:before="240" w:after="80"/>
      </w:pPr>
      <w:r>
        <w:rPr>
          <w:b/>
          <w:sz w:val="26"/>
        </w:rPr>
        <w:t>5. Submission Format</w:t>
      </w:r>
    </w:p>
    <w:p w14:paraId="46C9BB16" w14:textId="77777777" w:rsidR="0020630C" w:rsidRDefault="00000000">
      <w:pPr>
        <w:spacing w:after="120"/>
      </w:pPr>
      <w:r>
        <w:t>Submit predictions using submission_template.xlsx. The spreadsheet contains one header row and 100 data rows (one per case), with columns: RE Number, CP1, CP2, …, CP41.</w:t>
      </w:r>
    </w:p>
    <w:p w14:paraId="441B11AF" w14:textId="77777777" w:rsidR="0020630C" w:rsidRDefault="00000000">
      <w:pPr>
        <w:spacing w:after="120"/>
      </w:pPr>
      <w:r>
        <w:t>Accepted cell values:</w:t>
      </w:r>
    </w:p>
    <w:p w14:paraId="5D82467B" w14:textId="77777777" w:rsidR="0020630C" w:rsidRDefault="00000000">
      <w:pPr>
        <w:pStyle w:val="ListBullet"/>
        <w:spacing w:after="60"/>
      </w:pPr>
      <w:r>
        <w:rPr>
          <w:b/>
        </w:rPr>
        <w:t xml:space="preserve">1 </w:t>
      </w:r>
      <w:r>
        <w:t>— compliant</w:t>
      </w:r>
    </w:p>
    <w:p w14:paraId="69D6C9B4" w14:textId="77777777" w:rsidR="0020630C" w:rsidRDefault="00000000">
      <w:pPr>
        <w:pStyle w:val="ListBullet"/>
        <w:spacing w:after="60"/>
      </w:pPr>
      <w:r>
        <w:rPr>
          <w:b/>
        </w:rPr>
        <w:t xml:space="preserve">0 </w:t>
      </w:r>
      <w:r>
        <w:t>— non-compliant</w:t>
      </w:r>
    </w:p>
    <w:p w14:paraId="7004E33E" w14:textId="77777777" w:rsidR="0020630C" w:rsidRDefault="00000000">
      <w:pPr>
        <w:pStyle w:val="ListBullet"/>
        <w:spacing w:after="60"/>
      </w:pPr>
      <w:r>
        <w:rPr>
          <w:b/>
        </w:rPr>
        <w:t xml:space="preserve">N/A </w:t>
      </w:r>
      <w:r>
        <w:t>— not applicable</w:t>
      </w:r>
    </w:p>
    <w:p w14:paraId="068EAE19" w14:textId="77777777" w:rsidR="0020630C" w:rsidRDefault="0020630C">
      <w:pPr>
        <w:spacing w:before="40" w:after="40"/>
      </w:pPr>
    </w:p>
    <w:p w14:paraId="2AB9B034" w14:textId="77777777" w:rsidR="0020630C" w:rsidRDefault="00000000">
      <w:pPr>
        <w:spacing w:after="120"/>
      </w:pPr>
      <w:r>
        <w:t>Do not add, remove, or reorder rows or columns. The RE Number column must match the provided case identifiers exactly.</w:t>
      </w:r>
    </w:p>
    <w:p w14:paraId="30A97A6E" w14:textId="77777777" w:rsidR="0020630C" w:rsidRDefault="00000000">
      <w:pPr>
        <w:spacing w:before="240" w:after="80"/>
      </w:pPr>
      <w:r>
        <w:rPr>
          <w:b/>
          <w:sz w:val="26"/>
        </w:rPr>
        <w:t>6. Evaluation</w:t>
      </w:r>
    </w:p>
    <w:p w14:paraId="70CAA8FF" w14:textId="77777777" w:rsidR="0020630C" w:rsidRDefault="00000000">
      <w:pPr>
        <w:spacing w:after="120"/>
      </w:pPr>
      <w:r>
        <w:t>Submissions are evaluated on three levels of accuracy, all computed over the 4,100 audit decisions (41 checking points × 100 cases):</w:t>
      </w:r>
    </w:p>
    <w:p w14:paraId="29C23314" w14:textId="77777777" w:rsidR="0020630C" w:rsidRDefault="00000000">
      <w:pPr>
        <w:pStyle w:val="ListBullet"/>
        <w:spacing w:after="60"/>
      </w:pPr>
      <w:r>
        <w:rPr>
          <w:b/>
        </w:rPr>
        <w:t xml:space="preserve">Overall Accuracy: </w:t>
      </w:r>
      <w:r>
        <w:t>proportion of correct verdicts across all 4,100 decisions.</w:t>
      </w:r>
    </w:p>
    <w:p w14:paraId="1A2E443C" w14:textId="77777777" w:rsidR="0020630C" w:rsidRDefault="00000000">
      <w:pPr>
        <w:pStyle w:val="ListBullet"/>
        <w:spacing w:after="60"/>
      </w:pPr>
      <w:r>
        <w:rPr>
          <w:b/>
        </w:rPr>
        <w:t xml:space="preserve">CP Accuracy (×41): </w:t>
      </w:r>
      <w:r>
        <w:t>proportion of correct verdicts for each individual checking point across 100 cases.</w:t>
      </w:r>
    </w:p>
    <w:p w14:paraId="7BFC6D96" w14:textId="77777777" w:rsidR="0020630C" w:rsidRDefault="00000000">
      <w:pPr>
        <w:pStyle w:val="ListBullet"/>
        <w:spacing w:after="60"/>
      </w:pPr>
      <w:r>
        <w:rPr>
          <w:b/>
        </w:rPr>
        <w:t xml:space="preserve">Element Accuracy (×4): </w:t>
      </w:r>
      <w:r>
        <w:t>proportion of correct verdicts within each of the four compliance elements.</w:t>
      </w:r>
    </w:p>
    <w:p w14:paraId="1E0511C0" w14:textId="77777777" w:rsidR="0020630C" w:rsidRDefault="0020630C">
      <w:pPr>
        <w:spacing w:before="80" w:after="40"/>
      </w:pPr>
    </w:p>
    <w:p w14:paraId="4386A8C6" w14:textId="77777777" w:rsidR="0020630C" w:rsidRDefault="00000000">
      <w:pPr>
        <w:spacing w:before="120" w:after="40"/>
      </w:pPr>
      <w:r>
        <w:rPr>
          <w:b/>
        </w:rPr>
        <w:t>Human Involvement Constraint</w:t>
      </w:r>
    </w:p>
    <w:p w14:paraId="20058C59" w14:textId="77777777" w:rsidR="0020630C" w:rsidRDefault="00000000">
      <w:pPr>
        <w:spacing w:after="120"/>
      </w:pPr>
      <w:r>
        <w:t>Participants must not encode compliance rules directly into prompts (e.g., "CP3 requires X"). The AI system must derive its reasoning solely from the policy document and the farm evidence. Prompts that hard-code checking-point logic will be deemed in violation during method verification.</w:t>
      </w:r>
    </w:p>
    <w:p w14:paraId="0FE5F2B3" w14:textId="77777777" w:rsidR="0020630C" w:rsidRDefault="00000000">
      <w:pPr>
        <w:spacing w:after="120"/>
      </w:pPr>
      <w:r>
        <w:t>At the method verification stage, each team must submit: (1) the exact prompt(s) used, and (2) the model name and version. Submissions that cannot be reproduced from the declared prompt and model will be disqualified.</w:t>
      </w:r>
    </w:p>
    <w:p w14:paraId="039C71A2" w14:textId="77777777" w:rsidR="0020630C" w:rsidRDefault="00000000">
      <w:pPr>
        <w:spacing w:before="240" w:after="80"/>
      </w:pPr>
      <w:r>
        <w:rPr>
          <w:b/>
          <w:sz w:val="26"/>
        </w:rPr>
        <w:t>7. Reference</w:t>
      </w:r>
    </w:p>
    <w:p w14:paraId="23BFF499" w14:textId="77777777" w:rsidR="0020630C" w:rsidRDefault="00000000">
      <w:pPr>
        <w:spacing w:after="120"/>
      </w:pPr>
      <w:r>
        <w:t xml:space="preserve">Pang S., Magableh M. and Lim S. </w:t>
      </w:r>
      <w:r>
        <w:rPr>
          <w:i/>
        </w:rPr>
        <w:t>FRECA: Farm Registered Establishment Compliance Audit</w:t>
      </w:r>
      <w:r>
        <w:t>, for the 17th International Cybersecurity and Generative AI Competition (CyberAI Cup 2026), International Cyber-security Data-mining Society (ICSDS), 2026.</w:t>
      </w:r>
    </w:p>
    <w:sectPr w:rsidR="0020630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741756">
    <w:abstractNumId w:val="8"/>
  </w:num>
  <w:num w:numId="2" w16cid:durableId="1570266007">
    <w:abstractNumId w:val="6"/>
  </w:num>
  <w:num w:numId="3" w16cid:durableId="1455752330">
    <w:abstractNumId w:val="5"/>
  </w:num>
  <w:num w:numId="4" w16cid:durableId="879825316">
    <w:abstractNumId w:val="4"/>
  </w:num>
  <w:num w:numId="5" w16cid:durableId="1872722865">
    <w:abstractNumId w:val="7"/>
  </w:num>
  <w:num w:numId="6" w16cid:durableId="1495796526">
    <w:abstractNumId w:val="3"/>
  </w:num>
  <w:num w:numId="7" w16cid:durableId="65879381">
    <w:abstractNumId w:val="2"/>
  </w:num>
  <w:num w:numId="8" w16cid:durableId="239170696">
    <w:abstractNumId w:val="1"/>
  </w:num>
  <w:num w:numId="9" w16cid:durableId="1490488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30C"/>
    <w:rsid w:val="0029639D"/>
    <w:rsid w:val="00326F90"/>
    <w:rsid w:val="00565990"/>
    <w:rsid w:val="00610C9B"/>
    <w:rsid w:val="00AA1D8D"/>
    <w:rsid w:val="00B222A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AC408"/>
  <w14:defaultImageDpi w14:val="300"/>
  <w15:docId w15:val="{8ABF5FFF-E401-7D49-97B8-BA033D313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e26db92-c3e6-4284-bd18-c911c3621d09}" enabled="1" method="Privileged" siteId="{cdf54d0f-cccc-4bf5-a773-9107927d3c5b}"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Pang</cp:lastModifiedBy>
  <cp:revision>3</cp:revision>
  <dcterms:created xsi:type="dcterms:W3CDTF">2013-12-23T23:15:00Z</dcterms:created>
  <dcterms:modified xsi:type="dcterms:W3CDTF">2026-05-11T04:05:00Z</dcterms:modified>
  <cp:category/>
</cp:coreProperties>
</file>