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2024-12-05</w:t>
      </w:r>
    </w:p>
    <w:p>
      <w:pPr>
        <w:pStyle w:val="FirstParagraph"/>
      </w:pPr>
      <w:r>
        <w:t xml:space="preserve">This report provides summary tables and figures for the sediment trap data at Tampa Bay and Caloosahatchee River stations from December 2022 through November 2024.</w:t>
      </w:r>
      <w:r>
        <w:br/>
      </w:r>
      <w:r>
        <w:br/>
      </w:r>
      <w:r>
        <w:t xml:space="preserve">Monthly data is standardized to a 28-day month unless otherwise noted.</w:t>
      </w:r>
      <w:r>
        <w:br/>
      </w:r>
      <w:r>
        <w:br/>
      </w:r>
      <w:r>
        <w:t xml:space="preserve">Overall values are based on all data summarizes together. Data is extrapolated to the entire sample collected in most cases. Columns including</w:t>
      </w:r>
      <w:r>
        <w:t xml:space="preserve"> </w:t>
      </w:r>
      <w:r>
        <w:t xml:space="preserve">“</w:t>
      </w:r>
      <w:r>
        <w:t xml:space="preserve">Sample</w:t>
      </w:r>
      <w:r>
        <w:t xml:space="preserve">”</w:t>
      </w:r>
      <w:r>
        <w:t xml:space="preserve"> </w:t>
      </w:r>
      <w:r>
        <w:t xml:space="preserve">in the title are from crucible data and not extrapolated to the entire sample collected.</w:t>
      </w:r>
      <w:r>
        <w:br/>
      </w: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Percent organic content (%) by station and overall during the project. Sample columns use crucible level data while other columns extrapolate measurements to the entire sample based on calculated proportions.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95.25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94.76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Organic weight (g/day) of sediment by station and overall during the project. Sample columns use crucible level data while other columns extrapolate measurements to the entire sample based on calculated proportions.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330.87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1,055.90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634.09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1,067.76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Minimum and maximum sedimentation rates, percent organic content, and organic weight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152"/>
        <w:gridCol w:w="1152"/>
        <w:gridCol w:w="1152"/>
        <w:gridCol w:w="1152"/>
        <w:gridCol w:w="1152"/>
        <w:gridCol w:w="115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21.11</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11.32</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14.97</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7.73</w:t>
            </w:r>
          </w:p>
        </w:tc>
      </w:tr>
      <w:tr>
        <w:trPr>
          <w:trHeight w:val="360" w:hRule="auto"/>
        </w:trPr>
        body21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7.33</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7.64</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7.49</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12.56</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15.29</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14.12</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2.71</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22.27</w:t>
            </w:r>
          </w:p>
        </w:tc>
      </w:tr>
      <w:tr>
        <w:trPr>
          <w:trHeight w:val="360" w:hRule="auto"/>
        </w:trPr>
        body41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body42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body43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body44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body45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body46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body47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body48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body49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body50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body51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body52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body53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body54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body55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body56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body57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body58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body59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body60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r>
        <w:drawing>
          <wp:inline>
            <wp:extent cx="5334000" cy="6334125"/>
            <wp:effectExtent b="0" l="0" r="0" t="0"/>
            <wp:docPr descr="Figure 1. Mean monthly sedimentation rate (± S.D.) at stations in Tampa Bay and Caloosahatchee River. Asterisks indicate when no samples were collected from a station. Please note differences in magnitude between the y-axes." title="" id="21" name="Picture"/>
            <a:graphic>
              <a:graphicData uri="http://schemas.openxmlformats.org/drawingml/2006/picture">
                <pic:pic>
                  <pic:nvPicPr>
                    <pic:cNvPr descr="Sediment_trap_summary_files/figure-docx/Sedimentation%20rate-1.png" id="22" name="Picture"/>
                    <pic:cNvPicPr>
                      <a:picLocks noChangeArrowheads="1" noChangeAspect="1"/>
                    </pic:cNvPicPr>
                  </pic:nvPicPr>
                  <pic:blipFill>
                    <a:blip r:embed="rId20"/>
                    <a:stretch>
                      <a:fillRect/>
                    </a:stretch>
                  </pic:blipFill>
                  <pic:spPr bwMode="auto">
                    <a:xfrm>
                      <a:off x="0" y="0"/>
                      <a:ext cx="5334000" cy="6334125"/>
                    </a:xfrm>
                    <a:prstGeom prst="rect">
                      <a:avLst/>
                    </a:prstGeom>
                    <a:noFill/>
                    <a:ln w="9525">
                      <a:noFill/>
                      <a:headEnd/>
                      <a:tailEnd/>
                    </a:ln>
                  </pic:spPr>
                </pic:pic>
              </a:graphicData>
            </a:graphic>
          </wp:inline>
        </w:drawing>
      </w:r>
    </w:p>
    <w:p>
      <w:pPr>
        <w:pStyle w:val="CaptionedFigure"/>
      </w:pPr>
      <w:r>
        <w:drawing>
          <wp:inline>
            <wp:extent cx="5334000" cy="6334125"/>
            <wp:effectExtent b="0" l="0" r="0" t="0"/>
            <wp:docPr descr="Figure 2. Monthly organic content (%) of sediment at stations in Tampa Bay and Caloosahatchee River. Values are based on crucible samples. Asterisks indicate when no samples were collected from a station." title="" id="24" name="Picture"/>
            <a:graphic>
              <a:graphicData uri="http://schemas.openxmlformats.org/drawingml/2006/picture">
                <pic:pic>
                  <pic:nvPicPr>
                    <pic:cNvPr descr="Sediment_trap_summary_files/figure-docx/Percent%20organic%20per%20crucible-1.png" id="25" name="Picture"/>
                    <pic:cNvPicPr>
                      <a:picLocks noChangeArrowheads="1" noChangeAspect="1"/>
                    </pic:cNvPicPr>
                  </pic:nvPicPr>
                  <pic:blipFill>
                    <a:blip r:embed="rId23"/>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Monthly organic content (%) of sediment at stations in Tampa Bay and Caloosahatchee River. Values are based on crucible samples. Asterisks indicate when no samples were collected from a station.</w:t>
      </w:r>
    </w:p>
    <w:p>
      <w:pPr>
        <w:pStyle w:val="CaptionedFigure"/>
      </w:pPr>
      <w:r>
        <w:drawing>
          <wp:inline>
            <wp:extent cx="5334000" cy="6334125"/>
            <wp:effectExtent b="0" l="0" r="0" t="0"/>
            <wp:docPr descr="Figure 3. Monthly organic content (%) of sediment at stations in Tampa Bay and Caloosahatchee River. Values are extrapolated to the entire samples. Asterisks indicate when no samples were collected from a station." title="" id="27" name="Picture"/>
            <a:graphic>
              <a:graphicData uri="http://schemas.openxmlformats.org/drawingml/2006/picture">
                <pic:pic>
                  <pic:nvPicPr>
                    <pic:cNvPr descr="Sediment_trap_summary_files/figure-docx/Percent%20organic%20per%20sample-1.png" id="28" name="Picture"/>
                    <pic:cNvPicPr>
                      <a:picLocks noChangeArrowheads="1" noChangeAspect="1"/>
                    </pic:cNvPicPr>
                  </pic:nvPicPr>
                  <pic:blipFill>
                    <a:blip r:embed="rId26"/>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Monthly organic content (%) of sediment at stations in Tampa Bay and Caloosahatchee River. Values are extrapolated to the entire samples. Asterisks indicate when no samples were collected from a station.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2024-12-05T18:16:56Z</dcterms:created>
  <dcterms:modified xsi:type="dcterms:W3CDTF">2024-12-05T18:16:56Z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2024-12-05</vt:lpwstr>
  </property>
  <property fmtid="{D5CDD505-2E9C-101B-9397-08002B2CF9AE}" pid="3" name="output">
    <vt:lpwstr>word_document</vt:lpwstr>
  </property>
</Properties>
</file>