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360"/>
        <w:jc w:val="center"/>
        <w:rPr>
          <w:rFonts w:ascii="Times New Roman" w:hAnsi="Times New Roman"/>
          <w:sz w:val="40"/>
          <w:lang w:val="en-US"/>
        </w:rPr>
      </w:pPr>
      <w:r>
        <w:rPr>
          <w:rFonts w:ascii="Times New Roman" w:hAnsi="Times New Roman"/>
          <w:sz w:val="40"/>
          <w:lang w:val="en-US"/>
        </w:rPr>
        <w:t>Is KMAP Possible? Formal Verification of Karnaugh Map Encoding for Biological Sequences in Lean 4</w:t>
      </w:r>
    </w:p>
    <w:p>
      <w:pPr>
        <w:pStyle w:val="Normal"/>
        <w:jc w:val="center"/>
        <w:rPr>
          <w:rFonts w:ascii="Times New Roman" w:hAnsi="Times New Roman"/>
          <w:sz w:val="24"/>
          <w:lang w:val="en-US"/>
        </w:rPr>
      </w:pPr>
      <w:r>
        <w:rPr>
          <w:rFonts w:ascii="Times New Roman" w:hAnsi="Times New Roman"/>
          <w:b/>
          <w:sz w:val="24"/>
          <w:u w:val="single"/>
          <w:lang w:val="en-US"/>
        </w:rPr>
        <w:t>Shuvam Banerji Seal</w:t>
      </w:r>
      <w:r>
        <w:rPr>
          <w:rFonts w:ascii="Times New Roman" w:hAnsi="Times New Roman"/>
          <w:sz w:val="24"/>
          <w:vertAlign w:val="superscript"/>
          <w:lang w:val="en-US"/>
        </w:rPr>
        <w:t>1</w:t>
      </w:r>
      <w:r>
        <w:rPr>
          <w:rFonts w:ascii="Times New Roman" w:hAnsi="Times New Roman"/>
          <w:sz w:val="24"/>
          <w:lang w:val="en-US"/>
        </w:rPr>
        <w:t xml:space="preserve">, </w:t>
      </w:r>
      <w:r>
        <w:rPr>
          <w:rFonts w:ascii="Times New Roman" w:hAnsi="Times New Roman"/>
          <w:sz w:val="24"/>
          <w:lang w:val="en-US"/>
        </w:rPr>
        <w:t>Susmita Roy*</w:t>
      </w:r>
      <w:r>
        <w:rPr>
          <w:rFonts w:ascii="Times New Roman" w:hAnsi="Times New Roman"/>
          <w:sz w:val="24"/>
          <w:vertAlign w:val="superscript"/>
          <w:lang w:val="en-US"/>
        </w:rPr>
        <w:t>2</w:t>
      </w:r>
      <w:r>
        <w:rPr>
          <w:rFonts w:ascii="Times New Roman" w:hAnsi="Times New Roman"/>
          <w:sz w:val="24"/>
          <w:lang w:val="en-US"/>
        </w:rPr>
        <w:t xml:space="preserve">, </w:t>
      </w:r>
      <w:r>
        <w:rPr>
          <w:rFonts w:ascii="Times New Roman" w:hAnsi="Times New Roman"/>
          <w:sz w:val="24"/>
          <w:lang w:val="en-US"/>
        </w:rPr>
        <w:t>Dwaipayan Roy</w:t>
      </w:r>
      <w:r>
        <w:rPr>
          <w:rFonts w:ascii="Times New Roman" w:hAnsi="Times New Roman"/>
          <w:sz w:val="24"/>
          <w:vertAlign w:val="superscript"/>
          <w:lang w:val="en-US"/>
        </w:rPr>
        <w:t>3</w:t>
      </w:r>
      <w:r>
        <w:rPr>
          <w:rFonts w:ascii="Times New Roman" w:hAnsi="Times New Roman"/>
          <w:sz w:val="24"/>
          <w:lang w:val="en-US"/>
        </w:rPr>
        <w:t xml:space="preserve">  </w:t>
      </w:r>
    </w:p>
    <w:p>
      <w:pPr>
        <w:pStyle w:val="Normal"/>
        <w:spacing w:before="0" w:after="120"/>
        <w:jc w:val="center"/>
        <w:rPr>
          <w:rFonts w:ascii="Times New Roman" w:hAnsi="Times New Roman"/>
          <w:i/>
          <w:sz w:val="20"/>
          <w:lang w:val="en-US"/>
        </w:rPr>
      </w:pPr>
      <w:r>
        <w:rPr>
          <w:rFonts w:ascii="Times New Roman" w:hAnsi="Times New Roman"/>
          <w:i/>
          <w:sz w:val="20"/>
          <w:vertAlign w:val="superscript"/>
          <w:lang w:val="en-US"/>
        </w:rPr>
        <w:t>1,</w:t>
      </w:r>
      <w:r>
        <w:rPr>
          <w:rFonts w:ascii="Times New Roman" w:hAnsi="Times New Roman"/>
          <w:i/>
          <w:sz w:val="20"/>
          <w:vertAlign w:val="superscript"/>
          <w:lang w:val="en-US"/>
        </w:rPr>
        <w:t>2,3</w:t>
      </w:r>
      <w:r>
        <w:rPr>
          <w:rFonts w:ascii="Times New Roman" w:hAnsi="Times New Roman"/>
          <w:i/>
          <w:sz w:val="20"/>
          <w:lang w:val="en-US"/>
        </w:rPr>
        <w:t xml:space="preserve"> </w:t>
      </w:r>
      <w:r>
        <w:rPr>
          <w:rFonts w:ascii="Times New Roman" w:hAnsi="Times New Roman"/>
          <w:i/>
          <w:sz w:val="20"/>
          <w:lang w:val="en-US"/>
        </w:rPr>
        <w:t>Indian Institute of Science Education and Research Kolkata, India</w:t>
      </w:r>
    </w:p>
    <w:p>
      <w:pPr>
        <w:pStyle w:val="Normal"/>
        <w:spacing w:before="0" w:after="480"/>
        <w:jc w:val="center"/>
        <w:rPr>
          <w:rFonts w:ascii="Times New Roman" w:hAnsi="Times New Roman"/>
          <w:i/>
          <w:sz w:val="20"/>
          <w:lang w:val="en-US"/>
        </w:rPr>
      </w:pPr>
      <w:r>
        <w:rPr>
          <w:rFonts w:ascii="Times New Roman" w:hAnsi="Times New Roman"/>
          <w:sz w:val="20"/>
          <w:szCs w:val="20"/>
          <w:lang w:val="en-US"/>
        </w:rPr>
        <w:t>*</w:t>
      </w:r>
      <w:r>
        <w:rPr>
          <w:rFonts w:ascii="Times New Roman" w:hAnsi="Times New Roman"/>
          <w:sz w:val="20"/>
          <w:szCs w:val="20"/>
          <w:lang w:val="en-US"/>
        </w:rPr>
        <w:t>susmita.roy@iiserkol.ac.in</w:t>
      </w:r>
      <w:r>
        <w:rPr>
          <w:rFonts w:ascii="Times New Roman" w:hAnsi="Times New Roman"/>
          <w:i/>
          <w:sz w:val="20"/>
          <w:lang w:val="en-US"/>
        </w:rPr>
        <w:t xml:space="preserve"> </w:t>
      </w:r>
    </w:p>
    <w:p>
      <w:pPr>
        <w:pStyle w:val="Normal"/>
        <w:jc w:val="both"/>
        <w:rPr>
          <w:rFonts w:ascii="Times New Roman" w:hAnsi="Times New Roman"/>
          <w:b/>
          <w:sz w:val="28"/>
          <w:u w:val="single"/>
          <w:lang w:val="en-US"/>
        </w:rPr>
      </w:pPr>
      <w:r>
        <w:rPr>
          <w:rFonts w:ascii="Times New Roman" w:hAnsi="Times New Roman"/>
          <w:b/>
          <w:sz w:val="28"/>
          <w:u w:val="single"/>
          <w:lang w:val="en-US"/>
        </w:rPr>
        <w:t>Abstract</w:t>
      </w:r>
    </w:p>
    <w:p>
      <w:pPr>
        <w:pStyle w:val="Normal"/>
        <w:spacing w:lineRule="auto" w:line="240"/>
        <w:jc w:val="both"/>
        <w:rPr>
          <w:rFonts w:ascii="Times New Roman" w:hAnsi="Times New Roman"/>
          <w:sz w:val="24"/>
          <w:lang w:val="en-US"/>
        </w:rPr>
      </w:pPr>
      <w:r>
        <w:rPr>
          <w:rFonts w:ascii="Times New Roman" w:hAnsi="Times New Roman"/>
          <w:sz w:val="24"/>
          <w:lang w:val="en-US"/>
        </w:rPr>
        <w:t>The Protein Data Bank now exceeds 220,000 experimentally determined structures with predictive methods contributing millions more, yet the algebraic properties of the contact maps and sequence encodings that underpin structural analyses remain empirically assumed rather than formally verified, and no theorem prover formalization of Gray codes, Karnaugh maps, protein contact maps, or Boolean minimization exists to certify the claims that the biological community universally asserts without machine-checked proof. Petoukhov introduced genetic Karnaugh matrices arranging codons on Gray-code-ordered grids in 2024, yet this work is theoretical with no formal proofs, no computational pipeline for arbitrary sequences, and no connection to Structure-Based Model validation, while Chaos Game Representation and FCGR produce analogous grids but employ lexicographic ordering that destroys the single-bit-change adjacency essential to K-map coherence. Lean 4 with its native_decide tactic enables exhaustive verification of finite-domain propositions with zero axioms and no placeholders, producing machine-checked certificates precisely at the rigor level that biological encoding claims require, and a Python-to-Lean consistency bridge allows computational simulation results to be checked against formal theorems. This work presents 236 Lean 4 theorems across binary and base-N K-map frameworks that formally verify the mathematical foundations of mapping biological sequences to Karnaugh maps, including Gray code bijectivity and adjacency on the 8-bit domain, k-mer indexing injectivity for k equal to 1 through 4, 5-bit amino acid encoding across 7 physicochemical groups with exhaustive 190-pair distance verification, contact map completeness proving symmetry, irreflexivity, and prime-implicant irreducibility, n-ary Gray code generalization to base-4 DNA and base-20 protein alphabets, and the encoding-invariance theorem demonstrating that the expected Hamming-1 adjacency ratio depends only on alphabet size and k-mer length and not on the particular encoding chosen, with all proofs verified on a bounded A100 GPU computational pipeline and cross-checked against SMOG2 literature. The broader implication is that the compositional geometry of sequences encodes structural constraints invisible to alignment-based methods, because the systematic depletion of Hamming-1 neighbors from protein contact maps, proven encoding-invariant, means that sequence composition carries negative information about which residue pairs are structurally forbidden from contacting, and this negative constraint shapes the mutational landscape and by extension the co-evolutionary signal, since remotely homologous proteins sharing a fold may share similar K-map signatures enabling alignment-free detection of compositional equivalence classes, so that by formalizing the algebraic bridge between sequence and structure in Lean 4, this work provides the verified foundation upon which co-evolutionary investigations can proceed with mathematical certainty rather than empirical assumption.</w:t>
      </w:r>
      <w:r>
        <w:fldChar w:fldCharType="begin"/>
      </w:r>
      <w:r>
        <w:rPr>
          <w:rFonts w:ascii="Times New Roman" w:hAnsi="Times New Roman"/>
          <w:sz w:val="24"/>
          <w:lang w:val="en-US"/>
        </w:rPr>
        <w:instrText xml:space="preserve">ADDIN EN.CITE &lt;EndNote&gt;&lt;Cite&gt;&lt;Author&gt;Fukuoka&lt;/Author&gt;&lt;Year&gt;2006&lt;/Year&gt;&lt;RecNum&gt;1125&lt;/RecNum&gt;&lt;DisplayText&gt;&lt;style face="superscript"&gt;[1]&lt;/style&gt;&lt;/DisplayText&gt;&lt;record&gt;&lt;rec-number&gt;1125&lt;/rec-number&gt;&lt;foreign-keys&gt;&lt;key app="EN" db-id="wves9svtkdxapcereeqvz22gdwzr5fezasaw" timestamp="1408105803"&gt;1125&lt;/key&gt;&lt;/foreign-keys&gt;&lt;ref-type name="Journal Article"&gt;17&lt;/ref-type&gt;&lt;contributors&gt;&lt;authors&gt;&lt;author&gt;Fukuoka, Atsushi&lt;/author&gt;&lt;author&gt;Dhepe, Paresh L.&lt;/author&gt;&lt;/authors&gt;&lt;/contributors&gt;&lt;titles&gt;&lt;title&gt;Catalytic Conversion of Cellulose into Sugar Alcohols&lt;/title&gt;&lt;secondary-title&gt;Angewandte Chemie International Edition&lt;/secondary-title&gt;&lt;/titles&gt;&lt;periodical&gt;&lt;full-title&gt;Angewandte Chemie International Edition&lt;/full-title&gt;&lt;abbr-1&gt;Angew. Chem. Int. Ed.&lt;/abbr-1&gt;&lt;abbr-2&gt;Angew Chem Int Ed&lt;/abbr-2&gt;&lt;/periodical&gt;&lt;pages&gt;5161-5163&lt;/pages&gt;&lt;volume&gt;45&lt;/volume&gt;&lt;number&gt;31&lt;/number&gt;&lt;keywords&gt;&lt;keyword&gt;carbohydrates&lt;/keyword&gt;&lt;keyword&gt;catalysts&lt;/keyword&gt;&lt;keyword&gt;heterogeneous catalysis&lt;/keyword&gt;&lt;keyword&gt;reduction&lt;/keyword&gt;&lt;keyword&gt;water&lt;/keyword&gt;&lt;/keywords&gt;&lt;dates&gt;&lt;year&gt;2006&lt;/year&gt;&lt;/dates&gt;&lt;publisher&gt;WILEY-VCH Verlag&lt;/publisher&gt;&lt;isbn&gt;1521-3773&lt;/isbn&gt;&lt;urls&gt;&lt;related-urls&gt;&lt;url&gt;http://dx.doi.org/10.1002/anie.200601921&lt;/url&gt;&lt;/related-urls&gt;&lt;/urls&gt;&lt;electronic-resource-num&gt;10.1002/anie.200601921&lt;/electronic-resource-num&gt;&lt;/record&gt;&lt;/Cite&gt;&lt;/EndNote&gt;</w:instrText>
      </w:r>
      <w:r>
        <w:rPr>
          <w:rFonts w:ascii="Times New Roman" w:hAnsi="Times New Roman"/>
          <w:sz w:val="24"/>
          <w:lang w:val="en-US"/>
        </w:rPr>
      </w:r>
      <w:r>
        <w:rPr>
          <w:rFonts w:ascii="Times New Roman" w:hAnsi="Times New Roman"/>
          <w:sz w:val="24"/>
          <w:lang w:val="en-US"/>
        </w:rPr>
        <w:fldChar w:fldCharType="separate"/>
      </w:r>
      <w:r>
        <w:rPr>
          <w:rFonts w:ascii="Times New Roman" w:hAnsi="Times New Roman"/>
          <w:sz w:val="24"/>
          <w:lang w:val="en-US"/>
        </w:rPr>
      </w:r>
      <w:r>
        <w:rPr>
          <w:rFonts w:ascii="Times New Roman" w:hAnsi="Times New Roman"/>
          <w:sz w:val="24"/>
          <w:vertAlign w:val="superscript"/>
          <w:lang w:val="en-US"/>
        </w:rPr>
        <w:t>[1]</w:t>
      </w:r>
      <w:r/>
      <w:r>
        <w:rPr>
          <w:rFonts w:ascii="Times New Roman" w:hAnsi="Times New Roman"/>
          <w:sz w:val="24"/>
          <w:lang w:val="en-US"/>
        </w:rPr>
        <w:fldChar w:fldCharType="end"/>
      </w:r>
      <w:r>
        <w:rPr>
          <w:rFonts w:ascii="Times New Roman" w:hAnsi="Times New Roman"/>
          <w:sz w:val="24"/>
          <w:lang w:val="en-US"/>
        </w:rPr>
      </w:r>
    </w:p>
    <w:p>
      <w:pPr>
        <w:pStyle w:val="NormalWeb"/>
        <w:shd w:val="clear" w:color="auto" w:fill="FFFFFF"/>
        <w:rPr>
          <w:rFonts w:ascii="Times New Roman" w:hAnsi="Times New Roman" w:cs="Times New Roman"/>
          <w:lang w:val="en-US"/>
        </w:rPr>
      </w:pPr>
      <w:r>
        <w:rPr>
          <w:rFonts w:cs="Times New Roman" w:ascii="Times New Roman" w:hAnsi="Times New Roman"/>
          <w:lang w:val="en-US"/>
        </w:rPr>
        <w:t>1 S. V. Petoukhov, BioSystems 2024, 246, 105349.</w:t>
      </w:r>
    </w:p>
    <w:p>
      <w:pPr>
        <w:pStyle w:val="NormalWeb"/>
        <w:shd w:val="clear" w:color="auto" w:fill="FFFFFF"/>
        <w:rPr>
          <w:rFonts w:ascii="Times New Roman" w:hAnsi="Times New Roman" w:cs="Times New Roman"/>
          <w:lang w:val="en-US"/>
        </w:rPr>
      </w:pPr>
      <w:r>
        <w:rPr>
          <w:rFonts w:cs="Times New Roman" w:ascii="Times New Roman" w:hAnsi="Times New Roman"/>
          <w:lang w:val="en-US"/>
        </w:rPr>
        <w:t>2 M. He, K. Kari, F. E. Millan Arias, J. Theor. Biol. 2012, 301, 103-111.</w:t>
      </w:r>
    </w:p>
    <w:p>
      <w:pPr>
        <w:pStyle w:val="NormalWeb"/>
        <w:shd w:val="clear" w:color="auto" w:fill="FFFFFF"/>
        <w:rPr>
          <w:rFonts w:ascii="Times New Roman" w:hAnsi="Times New Roman" w:cs="Times New Roman"/>
          <w:lang w:val="en-US"/>
        </w:rPr>
      </w:pPr>
      <w:r>
        <w:rPr>
          <w:rFonts w:cs="Times New Roman" w:ascii="Times New Roman" w:hAnsi="Times New Roman"/>
          <w:lang w:val="en-US"/>
        </w:rPr>
        <w:t>3 R. Rodriguez-Gutierrez et al., Front. Appl. Math. Stat. 2024, 10, 1341158.</w:t>
      </w:r>
    </w:p>
    <w:p>
      <w:pPr>
        <w:pStyle w:val="NormalWeb"/>
        <w:shd w:val="clear" w:color="auto" w:fill="FFFFFF"/>
        <w:rPr>
          <w:rFonts w:ascii="Times New Roman" w:hAnsi="Times New Roman" w:cs="Times New Roman"/>
          <w:lang w:val="en-US"/>
        </w:rPr>
      </w:pPr>
      <w:r>
        <w:rPr>
          <w:rFonts w:cs="Times New Roman" w:ascii="Times New Roman" w:hAnsi="Times New Roman"/>
          <w:lang w:val="en-US"/>
        </w:rPr>
        <w:t>4 G. G. Almeida, S. Vinga, J. Bioinform. Comput. Biol. 2009, 7, 237-253.</w:t>
      </w:r>
    </w:p>
    <w:p>
      <w:pPr>
        <w:pStyle w:val="NormalWeb"/>
        <w:shd w:val="clear" w:color="auto" w:fill="FFFFFF"/>
        <w:rPr>
          <w:rFonts w:ascii="Times New Roman" w:hAnsi="Times New Roman" w:cs="Times New Roman"/>
          <w:lang w:val="en-US"/>
        </w:rPr>
      </w:pPr>
      <w:r>
        <w:rPr>
          <w:rFonts w:cs="Times New Roman" w:ascii="Times New Roman" w:hAnsi="Times New Roman"/>
          <w:lang w:val="en-US"/>
        </w:rPr>
      </w:r>
    </w:p>
    <w:p>
      <w:pPr>
        <w:pStyle w:val="EndNoteBibliography"/>
        <w:ind w:hanging="720" w:start="720"/>
        <w:rPr>
          <w:rFonts w:ascii="Times New Roman" w:hAnsi="Times New Roman"/>
        </w:rPr>
      </w:pPr>
      <w:r>
        <w:fldChar w:fldCharType="begin"/>
      </w:r>
      <w:r>
        <w:rPr>
          <w:rFonts w:ascii="Times New Roman" w:hAnsi="Times New Roman"/>
          <w:sz w:val="24"/>
          <w:lang w:val="en-US"/>
        </w:rPr>
        <w:instrText xml:space="preserve">ADDIN EN.REFLIST</w:instrText>
      </w:r>
      <w:r>
        <w:rPr>
          <w:rFonts w:ascii="Times New Roman" w:hAnsi="Times New Roman"/>
          <w:sz w:val="24"/>
          <w:lang w:val="en-US"/>
        </w:rPr>
      </w:r>
      <w:r>
        <w:rPr>
          <w:rFonts w:ascii="Times New Roman" w:hAnsi="Times New Roman"/>
          <w:sz w:val="24"/>
          <w:lang w:val="en-US"/>
        </w:rPr>
        <w:fldChar w:fldCharType="separate"/>
      </w:r>
      <w:r>
        <w:rPr>
          <w:rFonts w:ascii="Times New Roman" w:hAnsi="Times New Roman"/>
          <w:sz w:val="24"/>
          <w:lang w:val="en-US"/>
        </w:rPr>
      </w:r>
      <w:r>
        <w:rPr>
          <w:rFonts w:ascii="Times New Roman" w:hAnsi="Times New Roman"/>
        </w:rPr>
        <w:t>[1]</w:t>
        <w:tab/>
        <w:t xml:space="preserve">A. Lastname, B. C. Lastname, </w:t>
      </w:r>
      <w:r>
        <w:rPr>
          <w:rFonts w:ascii="Times New Roman" w:hAnsi="Times New Roman"/>
          <w:i/>
        </w:rPr>
        <w:t xml:space="preserve">Phys. Chem. Chem. Phys. </w:t>
      </w:r>
      <w:r>
        <w:rPr>
          <w:rFonts w:ascii="Times New Roman" w:hAnsi="Times New Roman"/>
          <w:b/>
        </w:rPr>
        <w:t>2023</w:t>
      </w:r>
      <w:r>
        <w:rPr>
          <w:rFonts w:ascii="Times New Roman" w:hAnsi="Times New Roman"/>
        </w:rPr>
        <w:t xml:space="preserve">, </w:t>
      </w:r>
      <w:r>
        <w:rPr>
          <w:rFonts w:ascii="Times New Roman" w:hAnsi="Times New Roman"/>
          <w:i/>
        </w:rPr>
        <w:t>1</w:t>
      </w:r>
      <w:r>
        <w:rPr>
          <w:rFonts w:ascii="Times New Roman" w:hAnsi="Times New Roman"/>
        </w:rPr>
        <w:t>, 234-240.</w:t>
      </w:r>
    </w:p>
    <w:p>
      <w:pPr>
        <w:pStyle w:val="Normal"/>
        <w:spacing w:lineRule="auto" w:line="240" w:before="0" w:after="200"/>
        <w:jc w:val="both"/>
        <w:rPr>
          <w:rFonts w:ascii="Times New Roman" w:hAnsi="Times New Roman" w:eastAsia="DengXian"/>
          <w:kern w:val="2"/>
          <w:sz w:val="21"/>
          <w:lang w:val="en-US"/>
        </w:rPr>
      </w:pPr>
      <w:r/>
      <w:r>
        <w:rPr>
          <w:rFonts w:ascii="Times New Roman" w:hAnsi="Times New Roman"/>
          <w:sz w:val="24"/>
          <w:lang w:val="en-US"/>
        </w:rPr>
        <w:fldChar w:fldCharType="end"/>
      </w:r>
      <w:r>
        <w:rPr>
          <w:rFonts w:ascii="Times New Roman" w:hAnsi="Times New Roman"/>
          <w:sz w:val="24"/>
          <w:lang w:val="en-US"/>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DejaVu Serif">
    <w:charset w:val="01" w:characterSet="utf-8"/>
    <w:family w:val="roman"/>
    <w:pitch w:val="variable"/>
  </w:font>
  <w:font w:name="Calibri">
    <w:charset w:val="01" w:characterSet="utf-8"/>
    <w:family w:val="swiss"/>
    <w:pitch w:val="variable"/>
  </w:font>
  <w:font w:name="DejaVu Sans">
    <w:charset w:val="01" w:characterSet="utf-8"/>
    <w:family w:val="swiss"/>
    <w:pitch w:val="variable"/>
  </w:font>
  <w:font w:name="SimSun">
    <w:charset w:val="01" w:characterSet="utf-8"/>
    <w:family w:val="swiss"/>
    <w:pitch w:val="variable"/>
  </w:font>
  <w:font w:name="Times New Roman">
    <w:charset w:val="01" w:characterSet="utf-8"/>
    <w:family w:val="roman"/>
    <w:pitch w:val="variable"/>
  </w:font>
</w:fonts>
</file>

<file path=word/settings.xml><?xml version="1.0" encoding="utf-8"?>
<w:settings xmlns:w="http://schemas.openxmlformats.org/wordprocessingml/2006/main">
  <w:zoom w:percent="156"/>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jY0N7EwMDA3tzCwsDRQ0lEKTi0uzszPAykwrgUAkmyXxSwAAAA="/>
    <w:docVar w:name="EN.InstantFormat" w:val="&lt;ENInstantFormat&gt;&lt;Enabled&gt;1&lt;/Enabled&gt;&lt;ScanUnformatted&gt;1&lt;/ScanUnformatted&gt;&lt;ScanChanges&gt;1&lt;/ScanChanges&gt;&lt;Suspended&gt;0&lt;/Suspended&gt;&lt;/ENInstantFormat&gt;"/>
    <w:docVar w:name="EN.Layout" w:val="&lt;ENLayout&gt;&lt;Style&gt;Angewandte Chemie&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wves9svtkdxapcereeqvz22gdwzr5fezasaw&quot;&gt;My EndNote Library-ZJG&lt;record-ids&gt;&lt;item&gt;1125&lt;/item&gt;&lt;/record-ids&gt;&lt;/item&gt;&lt;/Libraries&gt;"/>
  </w:docVars>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SimSun"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200"/>
      <w:jc w:val="start"/>
    </w:pPr>
    <w:rPr>
      <w:rFonts w:ascii="Calibri" w:hAnsi="Calibri" w:eastAsia="SimSun" w:cs="Times New Roman"/>
      <w:color w:val="auto"/>
      <w:kern w:val="0"/>
      <w:sz w:val="22"/>
      <w:szCs w:val="22"/>
      <w:lang w:val="en-SG" w:eastAsia="zh-CN"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sid w:val="00681d0d"/>
    <w:rPr>
      <w:color w:val="0000FF"/>
      <w:u w:val="single"/>
    </w:rPr>
  </w:style>
  <w:style w:type="character" w:styleId="EndNoteBibliographyTitleChar" w:customStyle="1">
    <w:name w:val="EndNote Bibliography Title Char"/>
    <w:link w:val="EndNoteBibliographyTitle"/>
    <w:qFormat/>
    <w:rsid w:val="00e83b08"/>
    <w:rPr>
      <w:sz w:val="22"/>
      <w:szCs w:val="22"/>
    </w:rPr>
  </w:style>
  <w:style w:type="character" w:styleId="EndNoteBibliographyChar" w:customStyle="1">
    <w:name w:val="EndNote Bibliography Char"/>
    <w:link w:val="EndNoteBibliography"/>
    <w:qFormat/>
    <w:rsid w:val="00e83b08"/>
    <w:rPr>
      <w:sz w:val="22"/>
      <w:szCs w:val="22"/>
    </w:rPr>
  </w:style>
  <w:style w:type="character" w:styleId="HeaderChar" w:customStyle="1">
    <w:name w:val="Header Char"/>
    <w:link w:val="Header"/>
    <w:uiPriority w:val="99"/>
    <w:qFormat/>
    <w:rsid w:val="00d37b18"/>
    <w:rPr>
      <w:sz w:val="22"/>
      <w:szCs w:val="22"/>
      <w:lang w:val="en-SG"/>
    </w:rPr>
  </w:style>
  <w:style w:type="character" w:styleId="FooterChar" w:customStyle="1">
    <w:name w:val="Footer Char"/>
    <w:link w:val="Footer"/>
    <w:uiPriority w:val="99"/>
    <w:qFormat/>
    <w:rsid w:val="00d37b18"/>
    <w:rPr>
      <w:sz w:val="22"/>
      <w:szCs w:val="22"/>
      <w:lang w:val="en-SG"/>
    </w:rPr>
  </w:style>
  <w:style w:type="character" w:styleId="UnresolvedMention">
    <w:name w:val="Unresolved Mention"/>
    <w:basedOn w:val="DefaultParagraphFont"/>
    <w:uiPriority w:val="99"/>
    <w:semiHidden/>
    <w:unhideWhenUsed/>
    <w:qFormat/>
    <w:rsid w:val="00831d1b"/>
    <w:rPr>
      <w:color w:val="605E5C"/>
      <w:shd w:fill="E1DFDD" w:val="clear"/>
    </w:rPr>
  </w:style>
  <w:style w:type="paragraph" w:styleId="Heading">
    <w:name w:val="Heading"/>
    <w:basedOn w:val="Normal"/>
    <w:next w:val="BodyText"/>
    <w:qFormat/>
    <w:pPr>
      <w:keepNext w:val="true"/>
      <w:spacing w:before="240" w:after="120"/>
    </w:pPr>
    <w:rPr>
      <w:rFonts w:ascii="DejaVu Sans" w:hAnsi="DejaVu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ListParagraph">
    <w:name w:val="List Paragraph"/>
    <w:basedOn w:val="Normal"/>
    <w:uiPriority w:val="34"/>
    <w:qFormat/>
    <w:rsid w:val="00f849f4"/>
    <w:pPr>
      <w:spacing w:before="0" w:after="200"/>
      <w:ind w:start="720"/>
      <w:contextualSpacing/>
    </w:pPr>
    <w:rPr/>
  </w:style>
  <w:style w:type="paragraph" w:styleId="EndNoteBibliographyTitle" w:customStyle="1">
    <w:name w:val="EndNote Bibliography Title"/>
    <w:basedOn w:val="Normal"/>
    <w:link w:val="EndNoteBibliographyTitleChar"/>
    <w:qFormat/>
    <w:rsid w:val="00e83b08"/>
    <w:pPr>
      <w:spacing w:before="0" w:after="0"/>
      <w:jc w:val="center"/>
    </w:pPr>
    <w:rPr/>
  </w:style>
  <w:style w:type="paragraph" w:styleId="EndNoteBibliography" w:customStyle="1">
    <w:name w:val="EndNote Bibliography"/>
    <w:basedOn w:val="Normal"/>
    <w:link w:val="EndNoteBibliographyChar"/>
    <w:qFormat/>
    <w:rsid w:val="00e83b08"/>
    <w:pPr>
      <w:spacing w:lineRule="auto" w:line="240"/>
      <w:jc w:val="both"/>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d37b18"/>
    <w:pPr>
      <w:tabs>
        <w:tab w:val="clear" w:pos="720"/>
        <w:tab w:val="center" w:pos="4680" w:leader="none"/>
        <w:tab w:val="right" w:pos="9360" w:leader="none"/>
      </w:tabs>
    </w:pPr>
    <w:rPr/>
  </w:style>
  <w:style w:type="paragraph" w:styleId="Footer">
    <w:name w:val="footer"/>
    <w:basedOn w:val="Normal"/>
    <w:link w:val="FooterChar"/>
    <w:uiPriority w:val="99"/>
    <w:unhideWhenUsed/>
    <w:rsid w:val="00d37b18"/>
    <w:pPr>
      <w:tabs>
        <w:tab w:val="clear" w:pos="720"/>
        <w:tab w:val="center" w:pos="4680" w:leader="none"/>
        <w:tab w:val="right" w:pos="9360" w:leader="none"/>
      </w:tabs>
    </w:pPr>
    <w:rPr/>
  </w:style>
  <w:style w:type="paragraph" w:styleId="NormalWeb">
    <w:name w:val="Normal (Web)"/>
    <w:basedOn w:val="Normal"/>
    <w:uiPriority w:val="99"/>
    <w:unhideWhenUsed/>
    <w:qFormat/>
    <w:rsid w:val="008849e6"/>
    <w:pPr>
      <w:spacing w:lineRule="auto" w:line="240" w:before="0" w:after="0"/>
    </w:pPr>
    <w:rPr>
      <w:rFonts w:ascii="SimSun" w:hAnsi="SimSun" w:cs="SimSun"/>
      <w:sz w:val="24"/>
      <w:szCs w:val="24"/>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主题​​">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pitchFamily="0" charset="1"/>
        <a:ea typeface=""/>
        <a:cs typeface=""/>
      </a:majorFont>
      <a:minorFont>
        <a:latin typeface="等线"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9</TotalTime>
  <Application>LibreOffice/25.8.7.3$Linux_X86_64 LibreOffice_project/580$Build-3</Application>
  <AppVersion>15.0000</AppVersion>
  <Pages>2</Pages>
  <Words>498</Words>
  <Characters>3194</Characters>
  <CharactersWithSpaces>3684</CharactersWithSpaces>
  <Paragraphs>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2025-04-04T07:11:00Z</dcterms:created>
  <dc:creator>Zhang Jiaguang</dc:creator>
  <dc:description/>
  <dc:language>en-US</dc:language>
  <cp:lastModifiedBy/>
  <dcterms:modified xsi:type="dcterms:W3CDTF">2026-06-30T18:58:00Z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file>