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b/>
          <w:bCs/>
          <w:color w:val="0E7C6B"/>
          <w:sz w:val="64"/>
          <w:szCs w:val="64"/>
        </w:rPr>
        <w:t xml:space="preserve">BizYangu</w:t>
      </w:r>
    </w:p>
    <w:p>
      <w:pPr>
        <w:spacing w:after="400" w:before="120"/>
        <w:jc w:val="center"/>
      </w:pPr>
      <w:r>
        <w:rPr>
          <w:i/>
          <w:iCs/>
          <w:color w:val="595959"/>
          <w:sz w:val="28"/>
          <w:szCs w:val="28"/>
        </w:rPr>
        <w:t xml:space="preserve">Biashara yako mikononi.</w:t>
      </w:r>
    </w:p>
    <w:p>
      <w:pPr>
        <w:spacing w:after="100"/>
        <w:jc w:val="center"/>
      </w:pPr>
      <w:r>
        <w:rPr>
          <w:b/>
          <w:bCs/>
          <w:color w:val="1A1A1A"/>
          <w:sz w:val="30"/>
          <w:szCs w:val="30"/>
        </w:rPr>
        <w:t xml:space="preserve">COMPREHENSIVE BUSINESS PLAN</w:t>
      </w:r>
    </w:p>
    <w:p>
      <w:pPr>
        <w:spacing w:after="600"/>
        <w:jc w:val="center"/>
      </w:pPr>
      <w:r>
        <w:rPr>
          <w:color w:val="595959"/>
          <w:sz w:val="22"/>
          <w:szCs w:val="22"/>
        </w:rPr>
        <w:t xml:space="preserve">Discovery to Regional Scale — A Living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6919"/>
      </w:tblGrid>
      <w:tr>
        <w:tc>
          <w:tcPr>
            <w:tcW w:type="dxa" w:w="2431"/>
            <w:shd w:fill="F2F7F6" w:val="clear"/>
            <w:tcMar>
              <w:top w:type="dxa" w:w="100"/>
              <w:left w:type="dxa" w:w="120"/>
              <w:bottom w:type="dxa" w:w="100"/>
              <w:right w:type="dxa" w:w="120"/>
            </w:tcMar>
          </w:tcPr>
          <w:p>
            <w:r>
              <w:rPr>
                <w:b/>
                <w:bCs/>
                <w:color w:val="0E7C6B"/>
                <w:sz w:val="20"/>
                <w:szCs w:val="20"/>
              </w:rPr>
              <w:t xml:space="preserve">Product</w:t>
            </w:r>
          </w:p>
        </w:tc>
        <w:tc>
          <w:tcPr>
            <w:tcW w:type="dxa" w:w="6919"/>
            <w:tcMar>
              <w:top w:type="dxa" w:w="100"/>
              <w:left w:type="dxa" w:w="120"/>
              <w:bottom w:type="dxa" w:w="100"/>
              <w:right w:type="dxa" w:w="120"/>
            </w:tcMar>
          </w:tcPr>
          <w:p>
            <w:r>
              <w:rPr>
                <w:b w:val="false"/>
                <w:bCs w:val="false"/>
                <w:color w:val="1A1A1A"/>
                <w:sz w:val="20"/>
                <w:szCs w:val="20"/>
              </w:rPr>
              <w:t xml:space="preserve">BizYangu</w:t>
            </w:r>
          </w:p>
        </w:tc>
      </w:tr>
      <w:tr>
        <w:tc>
          <w:tcPr>
            <w:tcW w:type="dxa" w:w="2431"/>
            <w:shd w:fill="F2F7F6" w:val="clear"/>
            <w:tcMar>
              <w:top w:type="dxa" w:w="100"/>
              <w:left w:type="dxa" w:w="120"/>
              <w:bottom w:type="dxa" w:w="100"/>
              <w:right w:type="dxa" w:w="120"/>
            </w:tcMar>
          </w:tcPr>
          <w:p>
            <w:r>
              <w:rPr>
                <w:b/>
                <w:bCs/>
                <w:color w:val="0E7C6B"/>
                <w:sz w:val="20"/>
                <w:szCs w:val="20"/>
              </w:rPr>
              <w:t xml:space="preserve">Company</w:t>
            </w:r>
          </w:p>
        </w:tc>
        <w:tc>
          <w:tcPr>
            <w:tcW w:type="dxa" w:w="6919"/>
            <w:tcMar>
              <w:top w:type="dxa" w:w="100"/>
              <w:left w:type="dxa" w:w="120"/>
              <w:bottom w:type="dxa" w:w="100"/>
              <w:right w:type="dxa" w:w="120"/>
            </w:tcMar>
          </w:tcPr>
          <w:p>
            <w:r>
              <w:rPr>
                <w:b w:val="false"/>
                <w:bCs w:val="false"/>
                <w:color w:val="1A1A1A"/>
                <w:sz w:val="20"/>
                <w:szCs w:val="20"/>
              </w:rPr>
              <w:t xml:space="preserve">Biashara Systems</w:t>
            </w:r>
          </w:p>
        </w:tc>
      </w:tr>
      <w:tr>
        <w:tc>
          <w:tcPr>
            <w:tcW w:type="dxa" w:w="2431"/>
            <w:shd w:fill="F2F7F6" w:val="clear"/>
            <w:tcMar>
              <w:top w:type="dxa" w:w="100"/>
              <w:left w:type="dxa" w:w="120"/>
              <w:bottom w:type="dxa" w:w="100"/>
              <w:right w:type="dxa" w:w="120"/>
            </w:tcMar>
          </w:tcPr>
          <w:p>
            <w:r>
              <w:rPr>
                <w:b/>
                <w:bCs/>
                <w:color w:val="0E7C6B"/>
                <w:sz w:val="20"/>
                <w:szCs w:val="20"/>
              </w:rPr>
              <w:t xml:space="preserve">Web</w:t>
            </w:r>
          </w:p>
        </w:tc>
        <w:tc>
          <w:tcPr>
            <w:tcW w:type="dxa" w:w="6919"/>
            <w:tcMar>
              <w:top w:type="dxa" w:w="100"/>
              <w:left w:type="dxa" w:w="120"/>
              <w:bottom w:type="dxa" w:w="100"/>
              <w:right w:type="dxa" w:w="120"/>
            </w:tcMar>
          </w:tcPr>
          <w:p>
            <w:r>
              <w:rPr>
                <w:b w:val="false"/>
                <w:bCs w:val="false"/>
                <w:color w:val="1A1A1A"/>
                <w:sz w:val="20"/>
                <w:szCs w:val="20"/>
              </w:rPr>
              <w:t xml:space="preserve">biasharasystems.co.ke (company site — dedicated product domain not yet live)</w:t>
            </w:r>
          </w:p>
        </w:tc>
      </w:tr>
      <w:tr>
        <w:tc>
          <w:tcPr>
            <w:tcW w:type="dxa" w:w="2431"/>
            <w:shd w:fill="F2F7F6" w:val="clear"/>
            <w:tcMar>
              <w:top w:type="dxa" w:w="100"/>
              <w:left w:type="dxa" w:w="120"/>
              <w:bottom w:type="dxa" w:w="100"/>
              <w:right w:type="dxa" w:w="120"/>
            </w:tcMar>
          </w:tcPr>
          <w:p>
            <w:r>
              <w:rPr>
                <w:b/>
                <w:bCs/>
                <w:color w:val="0E7C6B"/>
                <w:sz w:val="20"/>
                <w:szCs w:val="20"/>
              </w:rPr>
              <w:t xml:space="preserve">Version</w:t>
            </w:r>
          </w:p>
        </w:tc>
        <w:tc>
          <w:tcPr>
            <w:tcW w:type="dxa" w:w="6919"/>
            <w:tcMar>
              <w:top w:type="dxa" w:w="100"/>
              <w:left w:type="dxa" w:w="120"/>
              <w:bottom w:type="dxa" w:w="100"/>
              <w:right w:type="dxa" w:w="120"/>
            </w:tcMar>
          </w:tcPr>
          <w:p>
            <w:r>
              <w:rPr>
                <w:b w:val="false"/>
                <w:bCs w:val="false"/>
                <w:color w:val="1A1A1A"/>
                <w:sz w:val="20"/>
                <w:szCs w:val="20"/>
              </w:rPr>
              <w:t xml:space="preserve">2.0 — July 2026 (supersedes v1.0, June 2026)</w:t>
            </w:r>
          </w:p>
        </w:tc>
      </w:tr>
      <w:tr>
        <w:tc>
          <w:tcPr>
            <w:tcW w:type="dxa" w:w="2431"/>
            <w:shd w:fill="F2F7F6" w:val="clear"/>
            <w:tcMar>
              <w:top w:type="dxa" w:w="100"/>
              <w:left w:type="dxa" w:w="120"/>
              <w:bottom w:type="dxa" w:w="100"/>
              <w:right w:type="dxa" w:w="120"/>
            </w:tcMar>
          </w:tcPr>
          <w:p>
            <w:r>
              <w:rPr>
                <w:b/>
                <w:bCs/>
                <w:color w:val="0E7C6B"/>
                <w:sz w:val="20"/>
                <w:szCs w:val="20"/>
              </w:rPr>
              <w:t xml:space="preserve">Geography</w:t>
            </w:r>
          </w:p>
        </w:tc>
        <w:tc>
          <w:tcPr>
            <w:tcW w:type="dxa" w:w="6919"/>
            <w:tcMar>
              <w:top w:type="dxa" w:w="100"/>
              <w:left w:type="dxa" w:w="120"/>
              <w:bottom w:type="dxa" w:w="100"/>
              <w:right w:type="dxa" w:w="120"/>
            </w:tcMar>
          </w:tcPr>
          <w:p>
            <w:r>
              <w:rPr>
                <w:b w:val="false"/>
                <w:bCs w:val="false"/>
                <w:color w:val="1A1A1A"/>
                <w:sz w:val="20"/>
                <w:szCs w:val="20"/>
              </w:rPr>
              <w:t xml:space="preserve">Nairobi → East Africa</w:t>
            </w:r>
          </w:p>
        </w:tc>
      </w:tr>
      <w:tr>
        <w:tc>
          <w:tcPr>
            <w:tcW w:type="dxa" w:w="2431"/>
            <w:shd w:fill="F2F7F6" w:val="clear"/>
            <w:tcMar>
              <w:top w:type="dxa" w:w="100"/>
              <w:left w:type="dxa" w:w="120"/>
              <w:bottom w:type="dxa" w:w="100"/>
              <w:right w:type="dxa" w:w="120"/>
            </w:tcMar>
          </w:tcPr>
          <w:p>
            <w:r>
              <w:rPr>
                <w:b/>
                <w:bCs/>
                <w:color w:val="0E7C6B"/>
                <w:sz w:val="20"/>
                <w:szCs w:val="20"/>
              </w:rPr>
              <w:t xml:space="preserve">Stage</w:t>
            </w:r>
          </w:p>
        </w:tc>
        <w:tc>
          <w:tcPr>
            <w:tcW w:type="dxa" w:w="6919"/>
            <w:tcMar>
              <w:top w:type="dxa" w:w="100"/>
              <w:left w:type="dxa" w:w="120"/>
              <w:bottom w:type="dxa" w:w="100"/>
              <w:right w:type="dxa" w:w="120"/>
            </w:tcMar>
          </w:tcPr>
          <w:p>
            <w:r>
              <w:rPr>
                <w:b w:val="false"/>
                <w:bCs w:val="false"/>
                <w:color w:val="1A1A1A"/>
                <w:sz w:val="20"/>
                <w:szCs w:val="20"/>
              </w:rPr>
              <w:t xml:space="preserve">Core transaction engine built and in daily use (Build Plan v3, Phases 0–6 complete) · Product taxonomy first draft complete (Phase 8) · Discovery interviews complete · Pilot launching this week</w:t>
            </w:r>
          </w:p>
        </w:tc>
      </w:tr>
    </w:tbl>
    <w:p>
      <w:pPr>
        <w:spacing w:after="600"/>
      </w:pPr>
    </w:p>
    <w:p>
      <w:pPr>
        <w:jc w:val="center"/>
      </w:pPr>
      <w:r>
        <w:rPr>
          <w:b/>
          <w:bCs/>
          <w:color w:val="595959"/>
          <w:sz w:val="20"/>
          <w:szCs w:val="20"/>
        </w:rPr>
        <w:t xml:space="preserve">CONFIDENTIAL</w:t>
      </w:r>
    </w:p>
    <w:p>
      <w:r>
        <w:br w:type="page"/>
      </w:r>
    </w:p>
    <w:p>
      <w:pPr>
        <w:sectPr>
          <w:pgSz w:w="12240" w:h="15840" w:orient="portrait"/>
          <w:pgMar w:top="1080" w:right="1080" w:bottom="1080" w:left="1080" w:header="708" w:footer="708" w:gutter="0"/>
          <w:pgNumType/>
          <w:docGrid w:linePitch="360"/>
        </w:sectPr>
      </w:pPr>
    </w:p>
    <w:p>
      <w:pPr>
        <w:pStyle w:val="Heading1"/>
        <w:spacing w:after="300"/>
      </w:pPr>
      <w:r>
        <w:rPr>
          <w:b/>
          <w:bCs/>
          <w:color w:val="0E7C6B"/>
          <w:sz w:val="30"/>
          <w:szCs w:val="30"/>
        </w:rPr>
        <w:t xml:space="preserve">TABLE OF CONTENTS</w:t>
      </w:r>
    </w:p>
    <w:p>
      <w:pPr>
        <w:tabs>
          <w:tab w:val="right" w:pos="9350" w:leader="dot"/>
        </w:tabs>
        <w:spacing w:after="160"/>
      </w:pPr>
      <w:r>
        <w:rPr>
          <w:color w:val="1A1A1A"/>
          <w:sz w:val="21"/>
          <w:szCs w:val="21"/>
        </w:rPr>
        <w:t xml:space="preserve">1.  Executive Summary</w:t>
      </w:r>
      <w:r>
        <w:ptab w:alignment="right" w:relativeTo="margin" w:leader="dot"/>
      </w:r>
      <w:r>
        <w:rPr>
          <w:color w:val="1A1A1A"/>
          <w:sz w:val="21"/>
          <w:szCs w:val="21"/>
        </w:rPr>
        <w:t xml:space="preserve">3</w:t>
      </w:r>
    </w:p>
    <w:p>
      <w:pPr>
        <w:tabs>
          <w:tab w:val="right" w:pos="9350" w:leader="dot"/>
        </w:tabs>
        <w:spacing w:after="160"/>
      </w:pPr>
      <w:r>
        <w:rPr>
          <w:color w:val="1A1A1A"/>
          <w:sz w:val="21"/>
          <w:szCs w:val="21"/>
        </w:rPr>
        <w:t xml:space="preserve">2.  The Problem — Pain We Are Solving</w:t>
      </w:r>
      <w:r>
        <w:ptab w:alignment="right" w:relativeTo="margin" w:leader="dot"/>
      </w:r>
      <w:r>
        <w:rPr>
          <w:color w:val="1A1A1A"/>
          <w:sz w:val="21"/>
          <w:szCs w:val="21"/>
        </w:rPr>
        <w:t xml:space="preserve">4</w:t>
      </w:r>
    </w:p>
    <w:p>
      <w:pPr>
        <w:tabs>
          <w:tab w:val="right" w:pos="9350" w:leader="dot"/>
        </w:tabs>
        <w:spacing w:after="160"/>
      </w:pPr>
      <w:r>
        <w:rPr>
          <w:color w:val="1A1A1A"/>
          <w:sz w:val="21"/>
          <w:szCs w:val="21"/>
        </w:rPr>
        <w:t xml:space="preserve">3.  The Solution — BizYangu</w:t>
      </w:r>
      <w:r>
        <w:ptab w:alignment="right" w:relativeTo="margin" w:leader="dot"/>
      </w:r>
      <w:r>
        <w:rPr>
          <w:color w:val="1A1A1A"/>
          <w:sz w:val="21"/>
          <w:szCs w:val="21"/>
        </w:rPr>
        <w:t xml:space="preserve">4</w:t>
      </w:r>
    </w:p>
    <w:p>
      <w:pPr>
        <w:tabs>
          <w:tab w:val="right" w:pos="9350" w:leader="dot"/>
        </w:tabs>
        <w:spacing w:after="160"/>
      </w:pPr>
      <w:r>
        <w:rPr>
          <w:color w:val="1A1A1A"/>
          <w:sz w:val="21"/>
          <w:szCs w:val="21"/>
        </w:rPr>
        <w:t xml:space="preserve">4.  Market Research &amp; Discovery</w:t>
      </w:r>
      <w:r>
        <w:ptab w:alignment="right" w:relativeTo="margin" w:leader="dot"/>
      </w:r>
      <w:r>
        <w:rPr>
          <w:color w:val="1A1A1A"/>
          <w:sz w:val="21"/>
          <w:szCs w:val="21"/>
        </w:rPr>
        <w:t xml:space="preserve">5</w:t>
      </w:r>
    </w:p>
    <w:p>
      <w:pPr>
        <w:tabs>
          <w:tab w:val="right" w:pos="9350" w:leader="dot"/>
        </w:tabs>
        <w:spacing w:after="160"/>
      </w:pPr>
      <w:r>
        <w:rPr>
          <w:color w:val="1A1A1A"/>
          <w:sz w:val="21"/>
          <w:szCs w:val="21"/>
        </w:rPr>
        <w:t xml:space="preserve">5.  Validation — Proving People Will Pay</w:t>
      </w:r>
      <w:r>
        <w:ptab w:alignment="right" w:relativeTo="margin" w:leader="dot"/>
      </w:r>
      <w:r>
        <w:rPr>
          <w:color w:val="1A1A1A"/>
          <w:sz w:val="21"/>
          <w:szCs w:val="21"/>
        </w:rPr>
        <w:t xml:space="preserve">6</w:t>
      </w:r>
    </w:p>
    <w:p>
      <w:pPr>
        <w:tabs>
          <w:tab w:val="right" w:pos="9350" w:leader="dot"/>
        </w:tabs>
        <w:spacing w:after="160"/>
      </w:pPr>
      <w:r>
        <w:rPr>
          <w:color w:val="1A1A1A"/>
          <w:sz w:val="21"/>
          <w:szCs w:val="21"/>
        </w:rPr>
        <w:t xml:space="preserve">6.  Team &amp; Execution Capacity</w:t>
      </w:r>
      <w:r>
        <w:ptab w:alignment="right" w:relativeTo="margin" w:leader="dot"/>
      </w:r>
      <w:r>
        <w:rPr>
          <w:color w:val="1A1A1A"/>
          <w:sz w:val="21"/>
          <w:szCs w:val="21"/>
        </w:rPr>
        <w:t xml:space="preserve">7</w:t>
      </w:r>
    </w:p>
    <w:p>
      <w:pPr>
        <w:tabs>
          <w:tab w:val="right" w:pos="9350" w:leader="dot"/>
        </w:tabs>
        <w:spacing w:after="160"/>
      </w:pPr>
      <w:r>
        <w:rPr>
          <w:color w:val="1A1A1A"/>
          <w:sz w:val="21"/>
          <w:szCs w:val="21"/>
        </w:rPr>
        <w:t xml:space="preserve">7.  Product &amp; Build Status</w:t>
      </w:r>
      <w:r>
        <w:ptab w:alignment="right" w:relativeTo="margin" w:leader="dot"/>
      </w:r>
      <w:r>
        <w:rPr>
          <w:color w:val="1A1A1A"/>
          <w:sz w:val="21"/>
          <w:szCs w:val="21"/>
        </w:rPr>
        <w:t xml:space="preserve">8</w:t>
      </w:r>
    </w:p>
    <w:p>
      <w:pPr>
        <w:tabs>
          <w:tab w:val="right" w:pos="9350" w:leader="dot"/>
        </w:tabs>
        <w:spacing w:after="160"/>
      </w:pPr>
      <w:r>
        <w:rPr>
          <w:color w:val="1A1A1A"/>
          <w:sz w:val="21"/>
          <w:szCs w:val="21"/>
        </w:rPr>
        <w:t xml:space="preserve">8.  Competitive Landscape</w:t>
      </w:r>
      <w:r>
        <w:ptab w:alignment="right" w:relativeTo="margin" w:leader="dot"/>
      </w:r>
      <w:r>
        <w:rPr>
          <w:color w:val="1A1A1A"/>
          <w:sz w:val="21"/>
          <w:szCs w:val="21"/>
        </w:rPr>
        <w:t xml:space="preserve">9</w:t>
      </w:r>
    </w:p>
    <w:p>
      <w:pPr>
        <w:tabs>
          <w:tab w:val="right" w:pos="9350" w:leader="dot"/>
        </w:tabs>
        <w:spacing w:after="160"/>
      </w:pPr>
      <w:r>
        <w:rPr>
          <w:color w:val="1A1A1A"/>
          <w:sz w:val="21"/>
          <w:szCs w:val="21"/>
        </w:rPr>
        <w:t xml:space="preserve">9.  Pilot Program</w:t>
      </w:r>
      <w:r>
        <w:ptab w:alignment="right" w:relativeTo="margin" w:leader="dot"/>
      </w:r>
      <w:r>
        <w:rPr>
          <w:color w:val="1A1A1A"/>
          <w:sz w:val="21"/>
          <w:szCs w:val="21"/>
        </w:rPr>
        <w:t xml:space="preserve">10</w:t>
      </w:r>
    </w:p>
    <w:p>
      <w:pPr>
        <w:tabs>
          <w:tab w:val="right" w:pos="9350" w:leader="dot"/>
        </w:tabs>
        <w:spacing w:after="160"/>
      </w:pPr>
      <w:r>
        <w:rPr>
          <w:color w:val="1A1A1A"/>
          <w:sz w:val="21"/>
          <w:szCs w:val="21"/>
        </w:rPr>
        <w:t xml:space="preserve">10.  Business Model &amp; Pricing</w:t>
      </w:r>
      <w:r>
        <w:ptab w:alignment="right" w:relativeTo="margin" w:leader="dot"/>
      </w:r>
      <w:r>
        <w:rPr>
          <w:color w:val="1A1A1A"/>
          <w:sz w:val="21"/>
          <w:szCs w:val="21"/>
        </w:rPr>
        <w:t xml:space="preserve">11</w:t>
      </w:r>
    </w:p>
    <w:p>
      <w:pPr>
        <w:tabs>
          <w:tab w:val="right" w:pos="9350" w:leader="dot"/>
        </w:tabs>
        <w:spacing w:after="160"/>
      </w:pPr>
      <w:r>
        <w:rPr>
          <w:color w:val="1A1A1A"/>
          <w:sz w:val="21"/>
          <w:szCs w:val="21"/>
        </w:rPr>
        <w:t xml:space="preserve">11.  Go-to-Market &amp; Growth Strategy</w:t>
      </w:r>
      <w:r>
        <w:ptab w:alignment="right" w:relativeTo="margin" w:leader="dot"/>
      </w:r>
      <w:r>
        <w:rPr>
          <w:color w:val="1A1A1A"/>
          <w:sz w:val="21"/>
          <w:szCs w:val="21"/>
        </w:rPr>
        <w:t xml:space="preserve">12</w:t>
      </w:r>
    </w:p>
    <w:p>
      <w:pPr>
        <w:tabs>
          <w:tab w:val="right" w:pos="9350" w:leader="dot"/>
        </w:tabs>
        <w:spacing w:after="160"/>
      </w:pPr>
      <w:r>
        <w:rPr>
          <w:color w:val="1A1A1A"/>
          <w:sz w:val="21"/>
          <w:szCs w:val="21"/>
        </w:rPr>
        <w:t xml:space="preserve">12.  Risks &amp; Mitigations</w:t>
      </w:r>
      <w:r>
        <w:ptab w:alignment="right" w:relativeTo="margin" w:leader="dot"/>
      </w:r>
      <w:r>
        <w:rPr>
          <w:color w:val="1A1A1A"/>
          <w:sz w:val="21"/>
          <w:szCs w:val="21"/>
        </w:rPr>
        <w:t xml:space="preserve">12</w:t>
      </w:r>
    </w:p>
    <w:p>
      <w:pPr>
        <w:tabs>
          <w:tab w:val="right" w:pos="9350" w:leader="dot"/>
        </w:tabs>
        <w:spacing w:after="160"/>
      </w:pPr>
      <w:r>
        <w:rPr>
          <w:color w:val="1A1A1A"/>
          <w:sz w:val="21"/>
          <w:szCs w:val="21"/>
        </w:rPr>
        <w:t xml:space="preserve">13.  Financial Projections</w:t>
      </w:r>
      <w:r>
        <w:ptab w:alignment="right" w:relativeTo="margin" w:leader="dot"/>
      </w:r>
      <w:r>
        <w:rPr>
          <w:color w:val="1A1A1A"/>
          <w:sz w:val="21"/>
          <w:szCs w:val="21"/>
        </w:rPr>
        <w:t xml:space="preserve">13</w:t>
      </w:r>
    </w:p>
    <w:p>
      <w:pPr>
        <w:tabs>
          <w:tab w:val="right" w:pos="9350" w:leader="dot"/>
        </w:tabs>
        <w:spacing w:after="160"/>
      </w:pPr>
      <w:r>
        <w:rPr>
          <w:color w:val="1A1A1A"/>
          <w:sz w:val="21"/>
          <w:szCs w:val="21"/>
        </w:rPr>
        <w:t xml:space="preserve">14.  Roadmap Ahead &amp; The Ask</w:t>
      </w:r>
      <w:r>
        <w:ptab w:alignment="right" w:relativeTo="margin" w:leader="dot"/>
      </w:r>
      <w:r>
        <w:rPr>
          <w:color w:val="1A1A1A"/>
          <w:sz w:val="21"/>
          <w:szCs w:val="21"/>
        </w:rPr>
        <w:t xml:space="preserve">14</w:t>
      </w:r>
    </w:p>
    <w:p>
      <w:pPr>
        <w:tabs>
          <w:tab w:val="right" w:pos="9350" w:leader="dot"/>
        </w:tabs>
        <w:spacing w:after="160"/>
      </w:pPr>
      <w:r>
        <w:rPr>
          <w:color w:val="1A1A1A"/>
          <w:sz w:val="21"/>
          <w:szCs w:val="21"/>
        </w:rPr>
        <w:t xml:space="preserve">15.  Appendix — Methodology Note</w:t>
      </w:r>
      <w:r>
        <w:ptab w:alignment="right" w:relativeTo="margin" w:leader="dot"/>
      </w:r>
      <w:r>
        <w:rPr>
          <w:color w:val="1A1A1A"/>
          <w:sz w:val="21"/>
          <w:szCs w:val="21"/>
        </w:rPr>
        <w:t xml:space="preserve">14</w:t>
      </w:r>
    </w:p>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pBdr>
          <w:bottom w:val="single" w:color="0E7C6B" w:sz="12" w:space="6"/>
        </w:pBdr>
        <w:spacing w:after="200" w:before="480"/>
      </w:pPr>
      <w:r>
        <w:rPr>
          <w:b/>
          <w:bCs/>
          <w:color w:val="0E7C6B"/>
          <w:sz w:val="30"/>
          <w:szCs w:val="30"/>
        </w:rPr>
        <w:t xml:space="preserve">1. EXECUTIVE SUMMARY</w:t>
      </w:r>
    </w:p>
    <w:p>
      <w:pPr>
        <w:spacing w:after="160"/>
      </w:pPr>
      <w:r>
        <w:rPr>
          <w:color w:val="1A1A1A"/>
          <w:sz w:val="21"/>
          <w:szCs w:val="21"/>
        </w:rPr>
        <w:t xml:space="preserve">BizYangu is a mobile-first business operating platform built by Biashara Systems for small and medium-sized enterprises (SMEs) in Kenya. The platform unifies sales tracking (POS), inventory management, M-Pesa payment confirmation, receipt generation, and business reporting into a single transaction-based architecture — and, as of this version, is built and running, not just planned.</w:t>
      </w:r>
    </w:p>
    <w:p>
      <w:pPr>
        <w:spacing w:after="160"/>
      </w:pPr>
      <w:r>
        <w:rPr>
          <w:color w:val="1A1A1A"/>
          <w:sz w:val="21"/>
          <w:szCs w:val="21"/>
        </w:rPr>
        <w:t xml:space="preserve">This is the second version of this plan. The first (v1.0, June 2026) was written before any customer discovery had happened. Since then, we’ve interviewed real business owners, built and shipped the core of the product, and are launching a live pilot this week. This version replaces assumption with evidence wherever we have it, and is honest about what’s still assumption — or still ahead of us on the build — where we don’t.</w:t>
      </w:r>
    </w:p>
    <w:p>
      <w:pPr>
        <w:spacing w:after="160"/>
      </w:pPr>
      <w:r>
        <w:rPr>
          <w:b/>
          <w:bCs/>
          <w:sz w:val="21"/>
          <w:szCs w:val="21"/>
        </w:rPr>
        <w:t xml:space="preserve">BizYangu replaces notebook-and-memory business management with real-time clarity. Every shilling. Every item. Every transaction. Recorded and reported automatically.</w:t>
      </w:r>
    </w:p>
    <w:p>
      <w:pPr>
        <w:pStyle w:val="Heading2"/>
        <w:spacing w:after="120" w:before="300"/>
      </w:pPr>
      <w:r>
        <w:rPr>
          <w:b/>
          <w:bCs/>
          <w:color w:val="1A1A1A"/>
          <w:sz w:val="24"/>
          <w:szCs w:val="24"/>
        </w:rPr>
        <w:t xml:space="preserve">The Opportunity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c>
          <w:tcPr>
            <w:tcW w:type="dxa" w:w="2805"/>
            <w:shd w:fill="F2F7F6" w:val="clear"/>
            <w:tcMar>
              <w:top w:type="dxa" w:w="100"/>
              <w:left w:type="dxa" w:w="120"/>
              <w:bottom w:type="dxa" w:w="100"/>
              <w:right w:type="dxa" w:w="120"/>
            </w:tcMar>
          </w:tcPr>
          <w:p>
            <w:r>
              <w:rPr>
                <w:b/>
                <w:bCs/>
                <w:color w:val="0E7C6B"/>
                <w:sz w:val="20"/>
                <w:szCs w:val="20"/>
              </w:rPr>
              <w:t xml:space="preserve">Total Addressable Market</w:t>
            </w:r>
          </w:p>
        </w:tc>
        <w:tc>
          <w:tcPr>
            <w:tcW w:type="dxa" w:w="6545"/>
            <w:tcMar>
              <w:top w:type="dxa" w:w="100"/>
              <w:left w:type="dxa" w:w="120"/>
              <w:bottom w:type="dxa" w:w="100"/>
              <w:right w:type="dxa" w:w="120"/>
            </w:tcMar>
          </w:tcPr>
          <w:p>
            <w:r>
              <w:rPr>
                <w:b w:val="false"/>
                <w:bCs w:val="false"/>
                <w:color w:val="1A1A1A"/>
                <w:sz w:val="20"/>
                <w:szCs w:val="20"/>
              </w:rPr>
              <w:t xml:space="preserve">All SMEs in Kenya — estimated 7.4 million registered businesses (KNBS)</w:t>
            </w:r>
          </w:p>
        </w:tc>
      </w:tr>
      <w:tr>
        <w:tc>
          <w:tcPr>
            <w:tcW w:type="dxa" w:w="2805"/>
            <w:shd w:fill="F2F7F6" w:val="clear"/>
            <w:tcMar>
              <w:top w:type="dxa" w:w="100"/>
              <w:left w:type="dxa" w:w="120"/>
              <w:bottom w:type="dxa" w:w="100"/>
              <w:right w:type="dxa" w:w="120"/>
            </w:tcMar>
          </w:tcPr>
          <w:p>
            <w:r>
              <w:rPr>
                <w:b/>
                <w:bCs/>
                <w:color w:val="0E7C6B"/>
                <w:sz w:val="20"/>
                <w:szCs w:val="20"/>
              </w:rPr>
              <w:t xml:space="preserve">Serviceable Addressable Market</w:t>
            </w:r>
          </w:p>
        </w:tc>
        <w:tc>
          <w:tcPr>
            <w:tcW w:type="dxa" w:w="6545"/>
            <w:tcMar>
              <w:top w:type="dxa" w:w="100"/>
              <w:left w:type="dxa" w:w="120"/>
              <w:bottom w:type="dxa" w:w="100"/>
              <w:right w:type="dxa" w:w="120"/>
            </w:tcMar>
          </w:tcPr>
          <w:p>
            <w:r>
              <w:rPr>
                <w:b w:val="false"/>
                <w:bCs w:val="false"/>
                <w:color w:val="1A1A1A"/>
                <w:sz w:val="20"/>
                <w:szCs w:val="20"/>
              </w:rPr>
              <w:t xml:space="preserve">Retail/trade SMEs actively using M-Pesa — est. 1.2 million businesses</w:t>
            </w:r>
          </w:p>
        </w:tc>
      </w:tr>
      <w:tr>
        <w:tc>
          <w:tcPr>
            <w:tcW w:type="dxa" w:w="2805"/>
            <w:shd w:fill="F2F7F6" w:val="clear"/>
            <w:tcMar>
              <w:top w:type="dxa" w:w="100"/>
              <w:left w:type="dxa" w:w="120"/>
              <w:bottom w:type="dxa" w:w="100"/>
              <w:right w:type="dxa" w:w="120"/>
            </w:tcMar>
          </w:tcPr>
          <w:p>
            <w:r>
              <w:rPr>
                <w:b/>
                <w:bCs/>
                <w:color w:val="0E7C6B"/>
                <w:sz w:val="20"/>
                <w:szCs w:val="20"/>
              </w:rPr>
              <w:t xml:space="preserve">Serviceable Obtainable Market (Y1)</w:t>
            </w:r>
          </w:p>
        </w:tc>
        <w:tc>
          <w:tcPr>
            <w:tcW w:type="dxa" w:w="6545"/>
            <w:tcMar>
              <w:top w:type="dxa" w:w="100"/>
              <w:left w:type="dxa" w:w="120"/>
              <w:bottom w:type="dxa" w:w="100"/>
              <w:right w:type="dxa" w:w="120"/>
            </w:tcMar>
          </w:tcPr>
          <w:p>
            <w:r>
              <w:rPr>
                <w:b w:val="false"/>
                <w:bCs w:val="false"/>
                <w:color w:val="1A1A1A"/>
                <w:sz w:val="20"/>
                <w:szCs w:val="20"/>
              </w:rPr>
              <w:t xml:space="preserve">Retail SMEs in Nairobi, starting with the verticals validated in discovery and reflected in the product taxonomy: dukas/kiosks, hardware stores, stationers, boutiques, bars, wholesalers, salons/barbershops, garages, and cereals/grains dealers</w:t>
            </w:r>
          </w:p>
        </w:tc>
      </w:tr>
      <w:tr>
        <w:tc>
          <w:tcPr>
            <w:tcW w:type="dxa" w:w="2805"/>
            <w:shd w:fill="F2F7F6" w:val="clear"/>
            <w:tcMar>
              <w:top w:type="dxa" w:w="100"/>
              <w:left w:type="dxa" w:w="120"/>
              <w:bottom w:type="dxa" w:w="100"/>
              <w:right w:type="dxa" w:w="120"/>
            </w:tcMar>
          </w:tcPr>
          <w:p>
            <w:r>
              <w:rPr>
                <w:b/>
                <w:bCs/>
                <w:color w:val="0E7C6B"/>
                <w:sz w:val="20"/>
                <w:szCs w:val="20"/>
              </w:rPr>
              <w:t xml:space="preserve">Core Problem</w:t>
            </w:r>
          </w:p>
        </w:tc>
        <w:tc>
          <w:tcPr>
            <w:tcW w:type="dxa" w:w="6545"/>
            <w:tcMar>
              <w:top w:type="dxa" w:w="100"/>
              <w:left w:type="dxa" w:w="120"/>
              <w:bottom w:type="dxa" w:w="100"/>
              <w:right w:type="dxa" w:w="120"/>
            </w:tcMar>
          </w:tcPr>
          <w:p>
            <w:r>
              <w:rPr>
                <w:b w:val="false"/>
                <w:bCs w:val="false"/>
                <w:color w:val="1A1A1A"/>
                <w:sz w:val="20"/>
                <w:szCs w:val="20"/>
              </w:rPr>
              <w:t xml:space="preserve">Manual, error-prone business management — unrecorded sales chief among the costs, per direct interview evidence (see Section 4)</w:t>
            </w:r>
          </w:p>
        </w:tc>
      </w:tr>
      <w:tr>
        <w:tc>
          <w:tcPr>
            <w:tcW w:type="dxa" w:w="2805"/>
            <w:shd w:fill="F2F7F6" w:val="clear"/>
            <w:tcMar>
              <w:top w:type="dxa" w:w="100"/>
              <w:left w:type="dxa" w:w="120"/>
              <w:bottom w:type="dxa" w:w="100"/>
              <w:right w:type="dxa" w:w="120"/>
            </w:tcMar>
          </w:tcPr>
          <w:p>
            <w:r>
              <w:rPr>
                <w:b/>
                <w:bCs/>
                <w:color w:val="0E7C6B"/>
                <w:sz w:val="20"/>
                <w:szCs w:val="20"/>
              </w:rPr>
              <w:t xml:space="preserve">Core Solution</w:t>
            </w:r>
          </w:p>
        </w:tc>
        <w:tc>
          <w:tcPr>
            <w:tcW w:type="dxa" w:w="6545"/>
            <w:tcMar>
              <w:top w:type="dxa" w:w="100"/>
              <w:left w:type="dxa" w:w="120"/>
              <w:bottom w:type="dxa" w:w="100"/>
              <w:right w:type="dxa" w:w="120"/>
            </w:tcMar>
          </w:tcPr>
          <w:p>
            <w:r>
              <w:rPr>
                <w:b w:val="false"/>
                <w:bCs w:val="false"/>
                <w:color w:val="1A1A1A"/>
                <w:sz w:val="20"/>
                <w:szCs w:val="20"/>
              </w:rPr>
              <w:t xml:space="preserve">Unified transaction platform: POS + Inventory + M-Pesa confirmation, phone-native</w:t>
            </w:r>
          </w:p>
        </w:tc>
      </w:tr>
      <w:tr>
        <w:tc>
          <w:tcPr>
            <w:tcW w:type="dxa" w:w="2805"/>
            <w:shd w:fill="F2F7F6" w:val="clear"/>
            <w:tcMar>
              <w:top w:type="dxa" w:w="100"/>
              <w:left w:type="dxa" w:w="120"/>
              <w:bottom w:type="dxa" w:w="100"/>
              <w:right w:type="dxa" w:w="120"/>
            </w:tcMar>
          </w:tcPr>
          <w:p>
            <w:r>
              <w:rPr>
                <w:b/>
                <w:bCs/>
                <w:color w:val="0E7C6B"/>
                <w:sz w:val="20"/>
                <w:szCs w:val="20"/>
              </w:rPr>
              <w:t xml:space="preserve">Business Model</w:t>
            </w:r>
          </w:p>
        </w:tc>
        <w:tc>
          <w:tcPr>
            <w:tcW w:type="dxa" w:w="6545"/>
            <w:tcMar>
              <w:top w:type="dxa" w:w="100"/>
              <w:left w:type="dxa" w:w="120"/>
              <w:bottom w:type="dxa" w:w="100"/>
              <w:right w:type="dxa" w:w="120"/>
            </w:tcMar>
          </w:tcPr>
          <w:p>
            <w:r>
              <w:rPr>
                <w:b w:val="false"/>
                <w:bCs w:val="false"/>
                <w:color w:val="1A1A1A"/>
                <w:sz w:val="20"/>
                <w:szCs w:val="20"/>
              </w:rPr>
              <w:t xml:space="preserve">Monthly subscription, priced by vertical and business traffic rather than a single flat ladder (see Section 10)</w:t>
            </w:r>
          </w:p>
        </w:tc>
      </w:tr>
      <w:tr>
        <w:tc>
          <w:tcPr>
            <w:tcW w:type="dxa" w:w="2805"/>
            <w:shd w:fill="F2F7F6" w:val="clear"/>
            <w:tcMar>
              <w:top w:type="dxa" w:w="100"/>
              <w:left w:type="dxa" w:w="120"/>
              <w:bottom w:type="dxa" w:w="100"/>
              <w:right w:type="dxa" w:w="120"/>
            </w:tcMar>
          </w:tcPr>
          <w:p>
            <w:r>
              <w:rPr>
                <w:b/>
                <w:bCs/>
                <w:color w:val="0E7C6B"/>
                <w:sz w:val="20"/>
                <w:szCs w:val="20"/>
              </w:rPr>
              <w:t xml:space="preserve">Current Stage</w:t>
            </w:r>
          </w:p>
        </w:tc>
        <w:tc>
          <w:tcPr>
            <w:tcW w:type="dxa" w:w="6545"/>
            <w:tcMar>
              <w:top w:type="dxa" w:w="100"/>
              <w:left w:type="dxa" w:w="120"/>
              <w:bottom w:type="dxa" w:w="100"/>
              <w:right w:type="dxa" w:w="120"/>
            </w:tcMar>
          </w:tcPr>
          <w:p>
            <w:r>
              <w:rPr>
                <w:b w:val="false"/>
                <w:bCs w:val="false"/>
                <w:color w:val="1A1A1A"/>
                <w:sz w:val="20"/>
                <w:szCs w:val="20"/>
              </w:rPr>
              <w:t xml:space="preserve">Core transaction engine, sell flow, inventory, M-Pesa STK push, owner dashboard/reports, and staff management built and in daily use; infrastructure audit complete; product taxonomy first draft complete for 9 verticals. Growth/profit reporting and sell-without-inventory catalog growth are the next build phases, not yet shipped (see Section 7). Pilot launching this week; paid conversion planned for pilot close, not before.</w:t>
            </w:r>
          </w:p>
        </w:tc>
      </w:tr>
    </w:tbl>
    <w:p>
      <w:pPr>
        <w:pStyle w:val="Heading2"/>
        <w:spacing w:after="120" w:before="300"/>
      </w:pPr>
      <w:r>
        <w:rPr>
          <w:b/>
          <w:bCs/>
          <w:color w:val="1A1A1A"/>
          <w:sz w:val="24"/>
          <w:szCs w:val="24"/>
        </w:rPr>
        <w:t xml:space="preserve">Mission</w:t>
      </w:r>
    </w:p>
    <w:p>
      <w:pPr>
        <w:spacing w:after="160"/>
      </w:pPr>
      <w:r>
        <w:rPr>
          <w:i/>
          <w:iCs/>
          <w:color w:val="595959"/>
          <w:sz w:val="21"/>
          <w:szCs w:val="21"/>
        </w:rPr>
        <w:t xml:space="preserve">To eliminate manual business management and give every Kenyan SME real-time visibility into stock, sales, payments, and profitability.</w:t>
      </w:r>
    </w:p>
    <w:p>
      <w:pPr>
        <w:pStyle w:val="Heading2"/>
        <w:spacing w:after="120" w:before="300"/>
      </w:pPr>
      <w:r>
        <w:rPr>
          <w:b/>
          <w:bCs/>
          <w:color w:val="1A1A1A"/>
          <w:sz w:val="24"/>
          <w:szCs w:val="24"/>
        </w:rPr>
        <w:t xml:space="preserve">Vision</w:t>
      </w:r>
    </w:p>
    <w:p>
      <w:pPr>
        <w:spacing w:after="160"/>
      </w:pPr>
      <w:r>
        <w:rPr>
          <w:i/>
          <w:iCs/>
          <w:color w:val="595959"/>
          <w:sz w:val="21"/>
          <w:szCs w:val="21"/>
        </w:rPr>
        <w:t xml:space="preserve">To become East Africa’s leading SME operating platform by digitizing daily transactions and giving business owners the clarity, control, and confidence they deserve.</w:t>
      </w:r>
    </w:p>
    <w:p>
      <w:pPr>
        <w:pBdr>
          <w:top w:val="single" w:color="0E7C6B" w:sz="6" w:space="4"/>
          <w:bottom w:val="single" w:color="0E7C6B" w:sz="6" w:space="4"/>
          <w:left w:val="single" w:color="0E7C6B" w:sz="6" w:space="4"/>
          <w:right w:val="single" w:color="0E7C6B" w:sz="6" w:space="4"/>
        </w:pBdr>
        <w:shd w:fill="F2F7F6" w:val="clear"/>
        <w:spacing w:after="200" w:before="80"/>
      </w:pPr>
      <w:r>
        <w:rPr>
          <w:i/>
          <w:iCs/>
          <w:color w:val="1A1A1A"/>
          <w:sz w:val="20"/>
          <w:szCs w:val="20"/>
        </w:rPr>
        <w:t xml:space="preserve">What changed from v1.0: this version reflects a product that has actually been built and a discovery phase that has actually happened, rather than a pre-code plan. It also corrects an early draft of this v2.0 revision, which had over-stated build progress as "Phases 0–9 of 9 complete." Cross-checked directly against the codebase and the living build plan, the accurate picture is Phases 0–6 complete and in daily use, plus a completed first draft of the product taxonomy (Phase 8) — with growth/profit reporting (Phase 7) and sell-without-inventory catalog growth (Phase 9) still ahead. Numbers, timelines, and the feature list below are drawn from the real build and the real interviews, not projections — with revenue and scale projections (Sections 10, 13) still marked as forward-looking, since paid conversion hasn’t started yet.</w:t>
      </w:r>
    </w:p>
    <w:p>
      <w:pPr>
        <w:pStyle w:val="Heading1"/>
        <w:pBdr>
          <w:bottom w:val="single" w:color="0E7C6B" w:sz="12" w:space="6"/>
        </w:pBdr>
        <w:spacing w:after="200" w:before="480"/>
      </w:pPr>
      <w:r>
        <w:rPr>
          <w:b/>
          <w:bCs/>
          <w:color w:val="0E7C6B"/>
          <w:sz w:val="30"/>
          <w:szCs w:val="30"/>
        </w:rPr>
        <w:t xml:space="preserve">2. THE PROBLEM — PAIN WE ARE SOLVING</w:t>
      </w:r>
    </w:p>
    <w:p>
      <w:pPr>
        <w:spacing w:after="160"/>
      </w:pPr>
      <w:r>
        <w:rPr>
          <w:color w:val="1A1A1A"/>
          <w:sz w:val="21"/>
          <w:szCs w:val="21"/>
        </w:rPr>
        <w:t xml:space="preserve">Walk into a small business in Nairobi today and ask the owner: ‘Did you make money this week?’ Many will pause, guess, or simply not know. Discovery interviews with real business owners (Section 4) confirmed this isn’t a hypothesis — it’s the daily reality across every vertical we spoke to.</w:t>
      </w:r>
    </w:p>
    <w:p>
      <w:pPr>
        <w:pStyle w:val="Heading2"/>
        <w:spacing w:after="120" w:before="300"/>
      </w:pPr>
      <w:r>
        <w:rPr>
          <w:b/>
          <w:bCs/>
          <w:color w:val="1A1A1A"/>
          <w:sz w:val="24"/>
          <w:szCs w:val="24"/>
        </w:rPr>
        <w:t xml:space="preserve">Core Pain Points — Confirmed by Discovery</w:t>
      </w:r>
    </w:p>
    <w:p>
      <w:pPr>
        <w:pStyle w:val="ListParagraph"/>
        <w:numPr>
          <w:ilvl w:val="0"/>
          <w:numId w:val="1"/>
        </w:numPr>
        <w:spacing w:after="80"/>
      </w:pPr>
      <w:r>
        <w:rPr>
          <w:b/>
          <w:bCs/>
          <w:sz w:val="21"/>
          <w:szCs w:val="21"/>
        </w:rPr>
        <w:t xml:space="preserve">1. Unrecorded sales — the single most-cited loss cause. </w:t>
      </w:r>
      <w:r>
        <w:rPr>
          <w:sz w:val="21"/>
          <w:szCs w:val="21"/>
        </w:rPr>
        <w:t xml:space="preserve">Across interviews, "sales weren’t recorded" (mauzo hayakurekodiwa) came up more often than theft or spoilage as the reason money goes missing. This reframes the lead pain point from v1.0’s shrinkage-first framing to a recording-first one.</w:t>
      </w:r>
    </w:p>
    <w:p>
      <w:pPr>
        <w:pStyle w:val="ListParagraph"/>
        <w:numPr>
          <w:ilvl w:val="0"/>
          <w:numId w:val="1"/>
        </w:numPr>
        <w:spacing w:after="80"/>
      </w:pPr>
      <w:r>
        <w:rPr>
          <w:b/>
          <w:bCs/>
          <w:sz w:val="21"/>
          <w:szCs w:val="21"/>
        </w:rPr>
        <w:t xml:space="preserve">2. No real-time sales tracking. </w:t>
      </w:r>
      <w:r>
        <w:rPr>
          <w:sz w:val="21"/>
          <w:szCs w:val="21"/>
        </w:rPr>
        <w:t xml:space="preserve">Sales are tracked in a notebook or by memory; end-of-day totals are frequently wrong, and closing time varies wildly by business — anywhere from under 15 minutes to over an hour.</w:t>
      </w:r>
    </w:p>
    <w:p>
      <w:pPr>
        <w:pStyle w:val="ListParagraph"/>
        <w:numPr>
          <w:ilvl w:val="0"/>
          <w:numId w:val="1"/>
        </w:numPr>
        <w:spacing w:after="80"/>
      </w:pPr>
      <w:r>
        <w:rPr>
          <w:b/>
          <w:bCs/>
          <w:sz w:val="21"/>
          <w:szCs w:val="21"/>
        </w:rPr>
        <w:t xml:space="preserve">3. Inventory invisibility. </w:t>
      </w:r>
      <w:r>
        <w:rPr>
          <w:sz w:val="21"/>
          <w:szCs w:val="21"/>
        </w:rPr>
        <w:t xml:space="preserve">Stock is tracked by eye or notebook count, usually weekly or less often. Owners are regularly surprised by unexpected stockouts.</w:t>
      </w:r>
    </w:p>
    <w:p>
      <w:pPr>
        <w:pStyle w:val="ListParagraph"/>
        <w:numPr>
          <w:ilvl w:val="0"/>
          <w:numId w:val="1"/>
        </w:numPr>
        <w:spacing w:after="80"/>
      </w:pPr>
      <w:r>
        <w:rPr>
          <w:b/>
          <w:bCs/>
          <w:sz w:val="21"/>
          <w:szCs w:val="21"/>
        </w:rPr>
        <w:t xml:space="preserve">4. M-Pesa confirmation friction — real, but smaller than assumed. </w:t>
      </w:r>
      <w:r>
        <w:rPr>
          <w:sz w:val="21"/>
          <w:szCs w:val="21"/>
        </w:rPr>
        <w:t xml:space="preserve">v1.0 claimed reconciliation "takes hours, sometimes days." Interview respondents who answered this directly reported under 10 minutes for day-to-day checking — the real friction is confirmation delay and disputed/failed transactions, not bulk reconciliation. We’re correcting this claim rather than keep an unsupported one.</w:t>
      </w:r>
    </w:p>
    <w:p>
      <w:pPr>
        <w:pStyle w:val="ListParagraph"/>
        <w:numPr>
          <w:ilvl w:val="0"/>
          <w:numId w:val="1"/>
        </w:numPr>
        <w:spacing w:after="80"/>
      </w:pPr>
      <w:r>
        <w:rPr>
          <w:b/>
          <w:bCs/>
          <w:sz w:val="21"/>
          <w:szCs w:val="21"/>
        </w:rPr>
        <w:t xml:space="preserve">5. Profitability blindness. </w:t>
      </w:r>
      <w:r>
        <w:rPr>
          <w:sz w:val="21"/>
          <w:szCs w:val="21"/>
        </w:rPr>
        <w:t xml:space="preserve">Several owners could not say whether they were profitable that day even when they could name their best-selling product — visibility into individual sales doesn’t automatically add up to visibility into margin.</w:t>
      </w:r>
    </w:p>
    <w:p>
      <w:pPr>
        <w:pStyle w:val="ListParagraph"/>
        <w:numPr>
          <w:ilvl w:val="0"/>
          <w:numId w:val="1"/>
        </w:numPr>
        <w:spacing w:after="80"/>
      </w:pPr>
      <w:r>
        <w:rPr>
          <w:b/>
          <w:bCs/>
          <w:sz w:val="21"/>
          <w:szCs w:val="21"/>
        </w:rPr>
        <w:t xml:space="preserve">6. Costly miscalculation, not just theft. </w:t>
      </w:r>
      <w:r>
        <w:rPr>
          <w:sz w:val="21"/>
          <w:szCs w:val="21"/>
        </w:rPr>
        <w:t xml:space="preserve">Multiple respondents cited specific incidents — a customer sending KES 200 instead of 2,000, arithmetic slips at day-end — as concrete, recent money lost. This is a distinct and very fixable failure mode from deliberate theft.</w:t>
      </w:r>
    </w:p>
    <w:p>
      <w:pPr>
        <w:spacing w:after="160"/>
      </w:pPr>
      <w:r>
        <w:rPr>
          <w:color w:val="1A1A1A"/>
          <w:sz w:val="21"/>
          <w:szCs w:val="21"/>
        </w:rPr>
        <w:t xml:space="preserve">The combined cost of these problems — lost stock, uncollected value, missed reconciliation, and decisions made on guesswork — is real and recurring for a Kenyan retail SME, even if we’re not yet putting a precise shilling figure on it pending pilot data.</w:t>
      </w:r>
    </w:p>
    <w:p>
      <w:pPr>
        <w:pStyle w:val="Heading1"/>
        <w:pBdr>
          <w:bottom w:val="single" w:color="0E7C6B" w:sz="12" w:space="6"/>
        </w:pBdr>
        <w:spacing w:after="200" w:before="480"/>
      </w:pPr>
      <w:r>
        <w:rPr>
          <w:b/>
          <w:bCs/>
          <w:color w:val="0E7C6B"/>
          <w:sz w:val="30"/>
          <w:szCs w:val="30"/>
        </w:rPr>
        <w:t xml:space="preserve">3. THE SOLUTION — BIZYANGU</w:t>
      </w:r>
    </w:p>
    <w:p>
      <w:pPr>
        <w:spacing w:after="160"/>
      </w:pPr>
      <w:r>
        <w:rPr>
          <w:color w:val="1A1A1A"/>
          <w:sz w:val="21"/>
          <w:szCs w:val="21"/>
        </w:rPr>
        <w:t xml:space="preserve">BizYangu is built on one architectural principle, and this is the part of v1.0 that survived contact with real engineering completely intact: everything is a transaction. Every sale, stock addition, payment, refund, adjustment, and loss flows through a single unified transaction engine — a single source of truth that powers every feature above it.</w:t>
      </w:r>
    </w:p>
    <w:p>
      <w:pPr>
        <w:pStyle w:val="Heading2"/>
        <w:spacing w:after="120" w:before="300"/>
      </w:pPr>
      <w:r>
        <w:rPr>
          <w:b/>
          <w:bCs/>
          <w:color w:val="1A1A1A"/>
          <w:sz w:val="24"/>
          <w:szCs w:val="24"/>
        </w:rPr>
        <w:t xml:space="preserve">Transaction Types (as built)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4395"/>
        <w:gridCol w:w="3273"/>
      </w:tblGrid>
      <w:tr>
        <w:trPr>
          <w:tblHeader/>
        </w:trPr>
        <w:tc>
          <w:tcPr>
            <w:tcW w:type="dxa" w:w="1683"/>
            <w:shd w:fill="0E7C6B" w:val="clear"/>
            <w:tcMar>
              <w:top w:type="dxa" w:w="80"/>
              <w:left w:type="dxa" w:w="100"/>
              <w:bottom w:type="dxa" w:w="80"/>
              <w:right w:type="dxa" w:w="100"/>
            </w:tcMar>
          </w:tcPr>
          <w:p>
            <w:r>
              <w:rPr>
                <w:b/>
                <w:bCs/>
                <w:color w:val="FFFFFF"/>
                <w:sz w:val="19"/>
                <w:szCs w:val="19"/>
              </w:rPr>
              <w:t xml:space="preserve">Type</w:t>
            </w:r>
          </w:p>
        </w:tc>
        <w:tc>
          <w:tcPr>
            <w:tcW w:type="dxa" w:w="4395"/>
            <w:shd w:fill="0E7C6B" w:val="clear"/>
            <w:tcMar>
              <w:top w:type="dxa" w:w="80"/>
              <w:left w:type="dxa" w:w="100"/>
              <w:bottom w:type="dxa" w:w="80"/>
              <w:right w:type="dxa" w:w="100"/>
            </w:tcMar>
          </w:tcPr>
          <w:p>
            <w:r>
              <w:rPr>
                <w:b/>
                <w:bCs/>
                <w:color w:val="FFFFFF"/>
                <w:sz w:val="19"/>
                <w:szCs w:val="19"/>
              </w:rPr>
              <w:t xml:space="preserve">Description</w:t>
            </w:r>
          </w:p>
        </w:tc>
        <w:tc>
          <w:tcPr>
            <w:tcW w:type="dxa" w:w="3273"/>
            <w:shd w:fill="0E7C6B" w:val="clear"/>
            <w:tcMar>
              <w:top w:type="dxa" w:w="80"/>
              <w:left w:type="dxa" w:w="100"/>
              <w:bottom w:type="dxa" w:w="80"/>
              <w:right w:type="dxa" w:w="100"/>
            </w:tcMar>
          </w:tcPr>
          <w:p>
            <w:r>
              <w:rPr>
                <w:b/>
                <w:bCs/>
                <w:color w:val="FFFFFF"/>
                <w:sz w:val="19"/>
                <w:szCs w:val="19"/>
              </w:rPr>
              <w:t xml:space="preserve">Impact</w:t>
            </w:r>
          </w:p>
        </w:tc>
      </w:tr>
      <w:tr>
        <w:tc>
          <w:tcPr>
            <w:tcW w:type="dxa" w:w="1683"/>
            <w:tcMar>
              <w:top w:type="dxa" w:w="80"/>
              <w:left w:type="dxa" w:w="100"/>
              <w:bottom w:type="dxa" w:w="80"/>
              <w:right w:type="dxa" w:w="100"/>
            </w:tcMar>
          </w:tcPr>
          <w:p>
            <w:r>
              <w:rPr>
                <w:color w:val="1A1A1A"/>
                <w:sz w:val="19"/>
                <w:szCs w:val="19"/>
              </w:rPr>
              <w:t xml:space="preserve">Sale</w:t>
            </w:r>
          </w:p>
        </w:tc>
        <w:tc>
          <w:tcPr>
            <w:tcW w:type="dxa" w:w="4395"/>
            <w:tcMar>
              <w:top w:type="dxa" w:w="80"/>
              <w:left w:type="dxa" w:w="100"/>
              <w:bottom w:type="dxa" w:w="80"/>
              <w:right w:type="dxa" w:w="100"/>
            </w:tcMar>
          </w:tcPr>
          <w:p>
            <w:r>
              <w:rPr>
                <w:color w:val="1A1A1A"/>
                <w:sz w:val="19"/>
                <w:szCs w:val="19"/>
              </w:rPr>
              <w:t xml:space="preserve">Customer buys a product from the catalog</w:t>
            </w:r>
          </w:p>
        </w:tc>
        <w:tc>
          <w:tcPr>
            <w:tcW w:type="dxa" w:w="3273"/>
            <w:tcMar>
              <w:top w:type="dxa" w:w="80"/>
              <w:left w:type="dxa" w:w="100"/>
              <w:bottom w:type="dxa" w:w="80"/>
              <w:right w:type="dxa" w:w="100"/>
            </w:tcMar>
          </w:tcPr>
          <w:p>
            <w:r>
              <w:rPr>
                <w:color w:val="1A1A1A"/>
                <w:sz w:val="19"/>
                <w:szCs w:val="19"/>
              </w:rPr>
              <w:t xml:space="preserve">Reduces inventory, increases revenue, generates a reference number and receipt</w:t>
            </w:r>
          </w:p>
        </w:tc>
      </w:tr>
      <w:tr>
        <w:tc>
          <w:tcPr>
            <w:tcW w:type="dxa" w:w="1683"/>
            <w:shd w:fill="F2F7F6" w:val="clear"/>
            <w:tcMar>
              <w:top w:type="dxa" w:w="80"/>
              <w:left w:type="dxa" w:w="100"/>
              <w:bottom w:type="dxa" w:w="80"/>
              <w:right w:type="dxa" w:w="100"/>
            </w:tcMar>
          </w:tcPr>
          <w:p>
            <w:r>
              <w:rPr>
                <w:color w:val="1A1A1A"/>
                <w:sz w:val="19"/>
                <w:szCs w:val="19"/>
              </w:rPr>
              <w:t xml:space="preserve">Stock In</w:t>
            </w:r>
          </w:p>
        </w:tc>
        <w:tc>
          <w:tcPr>
            <w:tcW w:type="dxa" w:w="4395"/>
            <w:shd w:fill="F2F7F6" w:val="clear"/>
            <w:tcMar>
              <w:top w:type="dxa" w:w="80"/>
              <w:left w:type="dxa" w:w="100"/>
              <w:bottom w:type="dxa" w:w="80"/>
              <w:right w:type="dxa" w:w="100"/>
            </w:tcMar>
          </w:tcPr>
          <w:p>
            <w:r>
              <w:rPr>
                <w:color w:val="1A1A1A"/>
                <w:sz w:val="19"/>
                <w:szCs w:val="19"/>
              </w:rPr>
              <w:t xml:space="preserve">New stock received from a supplier</w:t>
            </w:r>
          </w:p>
        </w:tc>
        <w:tc>
          <w:tcPr>
            <w:tcW w:type="dxa" w:w="3273"/>
            <w:shd w:fill="F2F7F6" w:val="clear"/>
            <w:tcMar>
              <w:top w:type="dxa" w:w="80"/>
              <w:left w:type="dxa" w:w="100"/>
              <w:bottom w:type="dxa" w:w="80"/>
              <w:right w:type="dxa" w:w="100"/>
            </w:tcMar>
          </w:tcPr>
          <w:p>
            <w:r>
              <w:rPr>
                <w:color w:val="1A1A1A"/>
                <w:sz w:val="19"/>
                <w:szCs w:val="19"/>
              </w:rPr>
              <w:t xml:space="preserve">Increases inventory, logs cost basis</w:t>
            </w:r>
          </w:p>
        </w:tc>
      </w:tr>
      <w:tr>
        <w:tc>
          <w:tcPr>
            <w:tcW w:type="dxa" w:w="1683"/>
            <w:tcMar>
              <w:top w:type="dxa" w:w="80"/>
              <w:left w:type="dxa" w:w="100"/>
              <w:bottom w:type="dxa" w:w="80"/>
              <w:right w:type="dxa" w:w="100"/>
            </w:tcMar>
          </w:tcPr>
          <w:p>
            <w:r>
              <w:rPr>
                <w:color w:val="1A1A1A"/>
                <w:sz w:val="19"/>
                <w:szCs w:val="19"/>
              </w:rPr>
              <w:t xml:space="preserve">Adjustment</w:t>
            </w:r>
          </w:p>
        </w:tc>
        <w:tc>
          <w:tcPr>
            <w:tcW w:type="dxa" w:w="4395"/>
            <w:tcMar>
              <w:top w:type="dxa" w:w="80"/>
              <w:left w:type="dxa" w:w="100"/>
              <w:bottom w:type="dxa" w:w="80"/>
              <w:right w:type="dxa" w:w="100"/>
            </w:tcMar>
          </w:tcPr>
          <w:p>
            <w:r>
              <w:rPr>
                <w:color w:val="1A1A1A"/>
                <w:sz w:val="19"/>
                <w:szCs w:val="19"/>
              </w:rPr>
              <w:t xml:space="preserve">Manual stock correction</w:t>
            </w:r>
          </w:p>
        </w:tc>
        <w:tc>
          <w:tcPr>
            <w:tcW w:type="dxa" w:w="3273"/>
            <w:tcMar>
              <w:top w:type="dxa" w:w="80"/>
              <w:left w:type="dxa" w:w="100"/>
              <w:bottom w:type="dxa" w:w="80"/>
              <w:right w:type="dxa" w:w="100"/>
            </w:tcMar>
          </w:tcPr>
          <w:p>
            <w:r>
              <w:rPr>
                <w:color w:val="1A1A1A"/>
                <w:sz w:val="19"/>
                <w:szCs w:val="19"/>
              </w:rPr>
              <w:t xml:space="preserve">Logged with reason for audit</w:t>
            </w:r>
          </w:p>
        </w:tc>
      </w:tr>
      <w:tr>
        <w:tc>
          <w:tcPr>
            <w:tcW w:type="dxa" w:w="1683"/>
            <w:shd w:fill="F2F7F6" w:val="clear"/>
            <w:tcMar>
              <w:top w:type="dxa" w:w="80"/>
              <w:left w:type="dxa" w:w="100"/>
              <w:bottom w:type="dxa" w:w="80"/>
              <w:right w:type="dxa" w:w="100"/>
            </w:tcMar>
          </w:tcPr>
          <w:p>
            <w:r>
              <w:rPr>
                <w:color w:val="1A1A1A"/>
                <w:sz w:val="19"/>
                <w:szCs w:val="19"/>
              </w:rPr>
              <w:t xml:space="preserve">Loss / Damage</w:t>
            </w:r>
          </w:p>
        </w:tc>
        <w:tc>
          <w:tcPr>
            <w:tcW w:type="dxa" w:w="4395"/>
            <w:shd w:fill="F2F7F6" w:val="clear"/>
            <w:tcMar>
              <w:top w:type="dxa" w:w="80"/>
              <w:left w:type="dxa" w:w="100"/>
              <w:bottom w:type="dxa" w:w="80"/>
              <w:right w:type="dxa" w:w="100"/>
            </w:tcMar>
          </w:tcPr>
          <w:p>
            <w:r>
              <w:rPr>
                <w:color w:val="1A1A1A"/>
                <w:sz w:val="19"/>
                <w:szCs w:val="19"/>
              </w:rPr>
              <w:t xml:space="preserve">Expired, stolen, or damaged goods</w:t>
            </w:r>
          </w:p>
        </w:tc>
        <w:tc>
          <w:tcPr>
            <w:tcW w:type="dxa" w:w="3273"/>
            <w:shd w:fill="F2F7F6" w:val="clear"/>
            <w:tcMar>
              <w:top w:type="dxa" w:w="80"/>
              <w:left w:type="dxa" w:w="100"/>
              <w:bottom w:type="dxa" w:w="80"/>
              <w:right w:type="dxa" w:w="100"/>
            </w:tcMar>
          </w:tcPr>
          <w:p>
            <w:r>
              <w:rPr>
                <w:color w:val="1A1A1A"/>
                <w:sz w:val="19"/>
                <w:szCs w:val="19"/>
              </w:rPr>
              <w:t xml:space="preserve">Reduces inventory, flagged for review and reporting</w:t>
            </w:r>
          </w:p>
        </w:tc>
      </w:tr>
      <w:tr>
        <w:tc>
          <w:tcPr>
            <w:tcW w:type="dxa" w:w="1683"/>
            <w:tcMar>
              <w:top w:type="dxa" w:w="80"/>
              <w:left w:type="dxa" w:w="100"/>
              <w:bottom w:type="dxa" w:w="80"/>
              <w:right w:type="dxa" w:w="100"/>
            </w:tcMar>
          </w:tcPr>
          <w:p>
            <w:r>
              <w:rPr>
                <w:color w:val="1A1A1A"/>
                <w:sz w:val="19"/>
                <w:szCs w:val="19"/>
              </w:rPr>
              <w:t xml:space="preserve">Refund</w:t>
            </w:r>
          </w:p>
        </w:tc>
        <w:tc>
          <w:tcPr>
            <w:tcW w:type="dxa" w:w="4395"/>
            <w:tcMar>
              <w:top w:type="dxa" w:w="80"/>
              <w:left w:type="dxa" w:w="100"/>
              <w:bottom w:type="dxa" w:w="80"/>
              <w:right w:type="dxa" w:w="100"/>
            </w:tcMar>
          </w:tcPr>
          <w:p>
            <w:r>
              <w:rPr>
                <w:color w:val="1A1A1A"/>
                <w:sz w:val="19"/>
                <w:szCs w:val="19"/>
              </w:rPr>
              <w:t xml:space="preserve">Product returned by a customer</w:t>
            </w:r>
          </w:p>
        </w:tc>
        <w:tc>
          <w:tcPr>
            <w:tcW w:type="dxa" w:w="3273"/>
            <w:tcMar>
              <w:top w:type="dxa" w:w="80"/>
              <w:left w:type="dxa" w:w="100"/>
              <w:bottom w:type="dxa" w:w="80"/>
              <w:right w:type="dxa" w:w="100"/>
            </w:tcMar>
          </w:tcPr>
          <w:p>
            <w:r>
              <w:rPr>
                <w:color w:val="1A1A1A"/>
                <w:sz w:val="19"/>
                <w:szCs w:val="19"/>
              </w:rPr>
              <w:t xml:space="preserve">Reverses part or all of a sale by KES amount (apportioned internally across line items), restores stock, stays linked to the original sale for audit</w:t>
            </w:r>
          </w:p>
        </w:tc>
      </w:tr>
      <w:tr>
        <w:tc>
          <w:tcPr>
            <w:tcW w:type="dxa" w:w="1683"/>
            <w:shd w:fill="F2F7F6" w:val="clear"/>
            <w:tcMar>
              <w:top w:type="dxa" w:w="80"/>
              <w:left w:type="dxa" w:w="100"/>
              <w:bottom w:type="dxa" w:w="80"/>
              <w:right w:type="dxa" w:w="100"/>
            </w:tcMar>
          </w:tcPr>
          <w:p>
            <w:r>
              <w:rPr>
                <w:color w:val="1A1A1A"/>
                <w:sz w:val="19"/>
                <w:szCs w:val="19"/>
              </w:rPr>
              <w:t xml:space="preserve">Transfer</w:t>
            </w:r>
          </w:p>
        </w:tc>
        <w:tc>
          <w:tcPr>
            <w:tcW w:type="dxa" w:w="4395"/>
            <w:shd w:fill="F2F7F6" w:val="clear"/>
            <w:tcMar>
              <w:top w:type="dxa" w:w="80"/>
              <w:left w:type="dxa" w:w="100"/>
              <w:bottom w:type="dxa" w:w="80"/>
              <w:right w:type="dxa" w:w="100"/>
            </w:tcMar>
          </w:tcPr>
          <w:p>
            <w:r>
              <w:rPr>
                <w:color w:val="1A1A1A"/>
                <w:sz w:val="19"/>
                <w:szCs w:val="19"/>
              </w:rPr>
              <w:t xml:space="preserve">Stock moved between locations</w:t>
            </w:r>
          </w:p>
        </w:tc>
        <w:tc>
          <w:tcPr>
            <w:tcW w:type="dxa" w:w="3273"/>
            <w:shd w:fill="F2F7F6" w:val="clear"/>
            <w:tcMar>
              <w:top w:type="dxa" w:w="80"/>
              <w:left w:type="dxa" w:w="100"/>
              <w:bottom w:type="dxa" w:w="80"/>
              <w:right w:type="dxa" w:w="100"/>
            </w:tcMar>
          </w:tcPr>
          <w:p>
            <w:r>
              <w:rPr>
                <w:color w:val="1A1A1A"/>
                <w:sz w:val="19"/>
                <w:szCs w:val="19"/>
              </w:rPr>
              <w:t xml:space="preserve">Modeled at the transaction layer; not yet exposed in a multi-branch UI</w:t>
            </w:r>
          </w:p>
        </w:tc>
      </w:tr>
    </w:tbl>
    <w:p>
      <w:pPr>
        <w:spacing w:after="160"/>
      </w:pPr>
    </w:p>
    <w:p>
      <w:pPr>
        <w:pStyle w:val="Heading2"/>
        <w:spacing w:after="120" w:before="300"/>
      </w:pPr>
      <w:r>
        <w:rPr>
          <w:b/>
          <w:bCs/>
          <w:color w:val="1A1A1A"/>
          <w:sz w:val="24"/>
          <w:szCs w:val="24"/>
        </w:rPr>
        <w:t xml:space="preserve">User Modes (as built)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44"/>
        <w:gridCol w:w="7106"/>
      </w:tblGrid>
      <w:tr>
        <w:tc>
          <w:tcPr>
            <w:tcW w:type="dxa" w:w="2244"/>
            <w:shd w:fill="F2F7F6" w:val="clear"/>
            <w:tcMar>
              <w:top w:type="dxa" w:w="100"/>
              <w:left w:type="dxa" w:w="120"/>
              <w:bottom w:type="dxa" w:w="100"/>
              <w:right w:type="dxa" w:w="120"/>
            </w:tcMar>
          </w:tcPr>
          <w:p>
            <w:r>
              <w:rPr>
                <w:b/>
                <w:bCs/>
                <w:color w:val="0E7C6B"/>
                <w:sz w:val="20"/>
                <w:szCs w:val="20"/>
              </w:rPr>
              <w:t xml:space="preserve">SELL MODE</w:t>
            </w:r>
          </w:p>
        </w:tc>
        <w:tc>
          <w:tcPr>
            <w:tcW w:type="dxa" w:w="7106"/>
            <w:tcMar>
              <w:top w:type="dxa" w:w="100"/>
              <w:left w:type="dxa" w:w="120"/>
              <w:bottom w:type="dxa" w:w="100"/>
              <w:right w:type="dxa" w:w="120"/>
            </w:tcMar>
          </w:tcPr>
          <w:p>
            <w:r>
              <w:rPr>
                <w:b w:val="false"/>
                <w:bCs w:val="false"/>
                <w:color w:val="1A1A1A"/>
                <w:sz w:val="20"/>
                <w:szCs w:val="20"/>
              </w:rPr>
              <w:t xml:space="preserve">The cashier / shop attendant view. Fast POS: search or tap a product, confirm quantity, accept payment (cash, M-Pesa STK push, mixed, or credit). Selling a product not yet in the catalog by typing a free-text name and price is designed into the transaction model and is the next feature in the build queue (Section 7) — today, every sale is made against a catalog item.</w:t>
            </w:r>
          </w:p>
        </w:tc>
      </w:tr>
      <w:tr>
        <w:tc>
          <w:tcPr>
            <w:tcW w:type="dxa" w:w="2244"/>
            <w:shd w:fill="F2F7F6" w:val="clear"/>
            <w:tcMar>
              <w:top w:type="dxa" w:w="100"/>
              <w:left w:type="dxa" w:w="120"/>
              <w:bottom w:type="dxa" w:w="100"/>
              <w:right w:type="dxa" w:w="120"/>
            </w:tcMar>
          </w:tcPr>
          <w:p>
            <w:r>
              <w:rPr>
                <w:b/>
                <w:bCs/>
                <w:color w:val="0E7C6B"/>
                <w:sz w:val="20"/>
                <w:szCs w:val="20"/>
              </w:rPr>
              <w:t xml:space="preserve">STOCK MODE</w:t>
            </w:r>
          </w:p>
        </w:tc>
        <w:tc>
          <w:tcPr>
            <w:tcW w:type="dxa" w:w="7106"/>
            <w:tcMar>
              <w:top w:type="dxa" w:w="100"/>
              <w:left w:type="dxa" w:w="120"/>
              <w:bottom w:type="dxa" w:w="100"/>
              <w:right w:type="dxa" w:w="120"/>
            </w:tcMar>
          </w:tcPr>
          <w:p>
            <w:r>
              <w:rPr>
                <w:b w:val="false"/>
                <w:bCs w:val="false"/>
                <w:color w:val="1A1A1A"/>
                <w:sz w:val="20"/>
                <w:szCs w:val="20"/>
              </w:rPr>
              <w:t xml:space="preserve">The stock manager view. Add deliveries, run stock counts, flag damaged goods, and see low-stock signals.</w:t>
            </w:r>
          </w:p>
        </w:tc>
      </w:tr>
      <w:tr>
        <w:tc>
          <w:tcPr>
            <w:tcW w:type="dxa" w:w="2244"/>
            <w:shd w:fill="F2F7F6" w:val="clear"/>
            <w:tcMar>
              <w:top w:type="dxa" w:w="100"/>
              <w:left w:type="dxa" w:w="120"/>
              <w:bottom w:type="dxa" w:w="100"/>
              <w:right w:type="dxa" w:w="120"/>
            </w:tcMar>
          </w:tcPr>
          <w:p>
            <w:r>
              <w:rPr>
                <w:b/>
                <w:bCs/>
                <w:color w:val="0E7C6B"/>
                <w:sz w:val="20"/>
                <w:szCs w:val="20"/>
              </w:rPr>
              <w:t xml:space="preserve">INSIGHT MODE</w:t>
            </w:r>
          </w:p>
        </w:tc>
        <w:tc>
          <w:tcPr>
            <w:tcW w:type="dxa" w:w="7106"/>
            <w:tcMar>
              <w:top w:type="dxa" w:w="100"/>
              <w:left w:type="dxa" w:w="120"/>
              <w:bottom w:type="dxa" w:w="100"/>
              <w:right w:type="dxa" w:w="120"/>
            </w:tcMar>
          </w:tcPr>
          <w:p>
            <w:r>
              <w:rPr>
                <w:b w:val="false"/>
                <w:bCs w:val="false"/>
                <w:color w:val="1A1A1A"/>
                <w:sz w:val="20"/>
                <w:szCs w:val="20"/>
              </w:rPr>
              <w:t xml:space="preserve">The owner’s view. Revenue today vs. yesterday, top products, M-Pesa status, staff activity, live via a WebSocket feed. Deeper profit/growth trend graphs are the next reporting milestone (Section 7).</w:t>
            </w:r>
          </w:p>
        </w:tc>
      </w:tr>
    </w:tbl>
    <w:p>
      <w:pPr>
        <w:pStyle w:val="Heading2"/>
        <w:spacing w:after="120" w:before="300"/>
      </w:pPr>
      <w:r>
        <w:rPr>
          <w:b/>
          <w:bCs/>
          <w:color w:val="1A1A1A"/>
          <w:sz w:val="24"/>
          <w:szCs w:val="24"/>
        </w:rPr>
        <w:t xml:space="preserve">What We Are Deliberately Not Building (Yet)</w:t>
      </w:r>
    </w:p>
    <w:p>
      <w:pPr>
        <w:pStyle w:val="ListParagraph"/>
        <w:numPr>
          <w:ilvl w:val="0"/>
          <w:numId w:val="1"/>
        </w:numPr>
        <w:spacing w:after="80"/>
      </w:pPr>
      <w:r>
        <w:rPr>
          <w:color w:val="1A1A1A"/>
          <w:sz w:val="21"/>
          <w:szCs w:val="21"/>
        </w:rPr>
        <w:t xml:space="preserve">Advanced accounting or ERP</w:t>
      </w:r>
    </w:p>
    <w:p>
      <w:pPr>
        <w:pStyle w:val="ListParagraph"/>
        <w:numPr>
          <w:ilvl w:val="0"/>
          <w:numId w:val="1"/>
        </w:numPr>
        <w:spacing w:after="80"/>
      </w:pPr>
      <w:r>
        <w:rPr>
          <w:color w:val="1A1A1A"/>
          <w:sz w:val="21"/>
          <w:szCs w:val="21"/>
        </w:rPr>
        <w:t xml:space="preserve">Payroll management</w:t>
      </w:r>
    </w:p>
    <w:p>
      <w:pPr>
        <w:pStyle w:val="ListParagraph"/>
        <w:numPr>
          <w:ilvl w:val="0"/>
          <w:numId w:val="1"/>
        </w:numPr>
        <w:spacing w:after="80"/>
      </w:pPr>
      <w:r>
        <w:rPr>
          <w:color w:val="1A1A1A"/>
          <w:sz w:val="21"/>
          <w:szCs w:val="21"/>
        </w:rPr>
        <w:t xml:space="preserve">AI or machine-learning features</w:t>
      </w:r>
    </w:p>
    <w:p>
      <w:pPr>
        <w:pStyle w:val="ListParagraph"/>
        <w:numPr>
          <w:ilvl w:val="0"/>
          <w:numId w:val="1"/>
        </w:numPr>
        <w:spacing w:after="80"/>
      </w:pPr>
      <w:r>
        <w:rPr>
          <w:color w:val="1A1A1A"/>
          <w:sz w:val="21"/>
          <w:szCs w:val="21"/>
        </w:rPr>
        <w:t xml:space="preserve">Multi-branch support (the transaction model can support it later; no UI for it exists today)</w:t>
      </w:r>
    </w:p>
    <w:p>
      <w:pPr>
        <w:pStyle w:val="ListParagraph"/>
        <w:numPr>
          <w:ilvl w:val="0"/>
          <w:numId w:val="1"/>
        </w:numPr>
        <w:spacing w:after="80"/>
      </w:pPr>
      <w:r>
        <w:rPr>
          <w:color w:val="1A1A1A"/>
          <w:sz w:val="21"/>
          <w:szCs w:val="21"/>
        </w:rPr>
        <w:t xml:space="preserve">An e-commerce storefront</w:t>
      </w:r>
    </w:p>
    <w:p>
      <w:pPr>
        <w:spacing w:after="160"/>
      </w:pPr>
      <w:r>
        <w:rPr>
          <w:i/>
          <w:iCs/>
          <w:color w:val="595959"/>
          <w:sz w:val="21"/>
          <w:szCs w:val="21"/>
        </w:rPr>
        <w:t xml:space="preserve">These may become premium add-ons after we’ve proven the core loop works for a single-location SME. The product does one thing well: makes the owner’s day-to-day business visible, accurate, and manageable.</w:t>
      </w:r>
    </w:p>
    <w:p>
      <w:pPr>
        <w:pStyle w:val="Heading1"/>
        <w:pBdr>
          <w:bottom w:val="single" w:color="0E7C6B" w:sz="12" w:space="6"/>
        </w:pBdr>
        <w:spacing w:after="200" w:before="480"/>
      </w:pPr>
      <w:r>
        <w:rPr>
          <w:b/>
          <w:bCs/>
          <w:color w:val="0E7C6B"/>
          <w:sz w:val="30"/>
          <w:szCs w:val="30"/>
        </w:rPr>
        <w:t xml:space="preserve">4. MARKET RESEARCH &amp; DISCOVERY</w:t>
      </w:r>
    </w:p>
    <w:p>
      <w:pPr>
        <w:spacing w:after="160"/>
      </w:pPr>
      <w:r>
        <w:rPr>
          <w:color w:val="1A1A1A"/>
          <w:sz w:val="21"/>
          <w:szCs w:val="21"/>
        </w:rPr>
        <w:t xml:space="preserve">Unlike v1.0, this section now reflects discovery work that has actually happened. Structured interviews were conducted with real SME owners starting late June 2026, using a consistent question set covering sales method, inventory tracking, payment handling, reporting wishes, loss causes, tech comfort, and willingness to pay.</w:t>
      </w:r>
    </w:p>
    <w:p>
      <w:pPr>
        <w:pBdr>
          <w:top w:val="single" w:color="0E7C6B" w:sz="6" w:space="4"/>
          <w:bottom w:val="single" w:color="0E7C6B" w:sz="6" w:space="4"/>
          <w:left w:val="single" w:color="0E7C6B" w:sz="6" w:space="4"/>
          <w:right w:val="single" w:color="0E7C6B" w:sz="6" w:space="4"/>
        </w:pBdr>
        <w:shd w:fill="F2F7F6" w:val="clear"/>
        <w:spacing w:after="200" w:before="80"/>
      </w:pPr>
      <w:r>
        <w:rPr>
          <w:i/>
          <w:iCs/>
          <w:color w:val="1A1A1A"/>
          <w:sz w:val="20"/>
          <w:szCs w:val="20"/>
        </w:rPr>
        <w:t xml:space="preserve">A note on completeness: the interview records reviewed for this version cover the Duka/Kiosk, Hardware, Stationery, and Boutique verticals specifically. Interviews may also have been conducted in other verticals not included in this review pass — this section should be treated as a partial, evidence-backed snapshot to build on as the full interview set is consolidated, not a claim that these four verticals are the only ones explored. The product taxonomy (Section 7, Phase 8) already spans a wider set of nine verticals — bar, wholesale, cereals/grains, salon/barbershop, and auto spares/garage among them — reflecting intent to serve beyond the interviewed sample, on the same evidence-first footing once discovery there is done.</w:t>
      </w:r>
    </w:p>
    <w:p>
      <w:pPr>
        <w:pStyle w:val="Heading2"/>
        <w:spacing w:after="120" w:before="300"/>
      </w:pPr>
      <w:r>
        <w:rPr>
          <w:b/>
          <w:bCs/>
          <w:color w:val="1A1A1A"/>
          <w:sz w:val="24"/>
          <w:szCs w:val="24"/>
        </w:rPr>
        <w:t xml:space="preserve">What Discovery Confirmed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shd w:fill="0E7C6B" w:val="clear"/>
            <w:tcMar>
              <w:top w:type="dxa" w:w="80"/>
              <w:left w:type="dxa" w:w="100"/>
              <w:bottom w:type="dxa" w:w="80"/>
              <w:right w:type="dxa" w:w="100"/>
            </w:tcMar>
          </w:tcPr>
          <w:p>
            <w:r>
              <w:rPr>
                <w:b/>
                <w:bCs/>
                <w:color w:val="FFFFFF"/>
                <w:sz w:val="19"/>
                <w:szCs w:val="19"/>
              </w:rPr>
              <w:t xml:space="preserve">Finding</w:t>
            </w:r>
          </w:p>
        </w:tc>
        <w:tc>
          <w:tcPr>
            <w:tcW w:type="dxa" w:w="6545"/>
            <w:shd w:fill="0E7C6B" w:val="clear"/>
            <w:tcMar>
              <w:top w:type="dxa" w:w="80"/>
              <w:left w:type="dxa" w:w="100"/>
              <w:bottom w:type="dxa" w:w="80"/>
              <w:right w:type="dxa" w:w="100"/>
            </w:tcMar>
          </w:tcPr>
          <w:p>
            <w:r>
              <w:rPr>
                <w:b/>
                <w:bCs/>
                <w:color w:val="FFFFFF"/>
                <w:sz w:val="19"/>
                <w:szCs w:val="19"/>
              </w:rPr>
              <w:t xml:space="preserve">What we saw</w:t>
            </w:r>
          </w:p>
        </w:tc>
      </w:tr>
      <w:tr>
        <w:tc>
          <w:tcPr>
            <w:tcW w:type="dxa" w:w="2805"/>
            <w:tcMar>
              <w:top w:type="dxa" w:w="80"/>
              <w:left w:type="dxa" w:w="100"/>
              <w:bottom w:type="dxa" w:w="80"/>
              <w:right w:type="dxa" w:w="100"/>
            </w:tcMar>
          </w:tcPr>
          <w:p>
            <w:r>
              <w:rPr>
                <w:color w:val="1A1A1A"/>
                <w:sz w:val="19"/>
                <w:szCs w:val="19"/>
              </w:rPr>
              <w:t xml:space="preserve">Interest in the product</w:t>
            </w:r>
          </w:p>
        </w:tc>
        <w:tc>
          <w:tcPr>
            <w:tcW w:type="dxa" w:w="6545"/>
            <w:tcMar>
              <w:top w:type="dxa" w:w="80"/>
              <w:left w:type="dxa" w:w="100"/>
              <w:bottom w:type="dxa" w:w="80"/>
              <w:right w:type="dxa" w:w="100"/>
            </w:tcMar>
          </w:tcPr>
          <w:p>
            <w:r>
              <w:rPr>
                <w:color w:val="1A1A1A"/>
                <w:sz w:val="19"/>
                <w:szCs w:val="19"/>
              </w:rPr>
              <w:t xml:space="preserve">The large majority of owners who heard the pitch said yes. One decline was recorded, citing price — before hearing an actual number.</w:t>
            </w:r>
          </w:p>
        </w:tc>
      </w:tr>
      <w:tr>
        <w:tc>
          <w:tcPr>
            <w:tcW w:type="dxa" w:w="2805"/>
            <w:shd w:fill="F2F7F6" w:val="clear"/>
            <w:tcMar>
              <w:top w:type="dxa" w:w="80"/>
              <w:left w:type="dxa" w:w="100"/>
              <w:bottom w:type="dxa" w:w="80"/>
              <w:right w:type="dxa" w:w="100"/>
            </w:tcMar>
          </w:tcPr>
          <w:p>
            <w:r>
              <w:rPr>
                <w:color w:val="1A1A1A"/>
                <w:sz w:val="19"/>
                <w:szCs w:val="19"/>
              </w:rPr>
              <w:t xml:space="preserve">Top loss cause</w:t>
            </w:r>
          </w:p>
        </w:tc>
        <w:tc>
          <w:tcPr>
            <w:tcW w:type="dxa" w:w="6545"/>
            <w:shd w:fill="F2F7F6" w:val="clear"/>
            <w:tcMar>
              <w:top w:type="dxa" w:w="80"/>
              <w:left w:type="dxa" w:w="100"/>
              <w:bottom w:type="dxa" w:w="80"/>
              <w:right w:type="dxa" w:w="100"/>
            </w:tcMar>
          </w:tcPr>
          <w:p>
            <w:r>
              <w:rPr>
                <w:color w:val="1A1A1A"/>
                <w:sz w:val="19"/>
                <w:szCs w:val="19"/>
              </w:rPr>
              <w:t xml:space="preserve">Unrecorded sales, ahead of theft or spoilage, across the reviewed sample.</w:t>
            </w:r>
          </w:p>
        </w:tc>
      </w:tr>
      <w:tr>
        <w:tc>
          <w:tcPr>
            <w:tcW w:type="dxa" w:w="2805"/>
            <w:tcMar>
              <w:top w:type="dxa" w:w="80"/>
              <w:left w:type="dxa" w:w="100"/>
              <w:bottom w:type="dxa" w:w="80"/>
              <w:right w:type="dxa" w:w="100"/>
            </w:tcMar>
          </w:tcPr>
          <w:p>
            <w:r>
              <w:rPr>
                <w:color w:val="1A1A1A"/>
                <w:sz w:val="19"/>
                <w:szCs w:val="19"/>
              </w:rPr>
              <w:t xml:space="preserve">Willingness to pay</w:t>
            </w:r>
          </w:p>
        </w:tc>
        <w:tc>
          <w:tcPr>
            <w:tcW w:type="dxa" w:w="6545"/>
            <w:tcMar>
              <w:top w:type="dxa" w:w="80"/>
              <w:left w:type="dxa" w:w="100"/>
              <w:bottom w:type="dxa" w:w="80"/>
              <w:right w:type="dxa" w:w="100"/>
            </w:tcMar>
          </w:tcPr>
          <w:p>
            <w:r>
              <w:rPr>
                <w:color w:val="1A1A1A"/>
                <w:sz w:val="19"/>
                <w:szCs w:val="19"/>
              </w:rPr>
              <w:t xml:space="preserve">Wide range — roughly KES 100 to KES 1,000+ per month — varying by business type and by traffic/volume, not a single number. This directly informs the restructured pricing in Section 10.</w:t>
            </w:r>
          </w:p>
        </w:tc>
      </w:tr>
      <w:tr>
        <w:tc>
          <w:tcPr>
            <w:tcW w:type="dxa" w:w="2805"/>
            <w:shd w:fill="F2F7F6" w:val="clear"/>
            <w:tcMar>
              <w:top w:type="dxa" w:w="80"/>
              <w:left w:type="dxa" w:w="100"/>
              <w:bottom w:type="dxa" w:w="80"/>
              <w:right w:type="dxa" w:w="100"/>
            </w:tcMar>
          </w:tcPr>
          <w:p>
            <w:r>
              <w:rPr>
                <w:color w:val="1A1A1A"/>
                <w:sz w:val="19"/>
                <w:szCs w:val="19"/>
              </w:rPr>
              <w:t xml:space="preserve">Trust requirements before paying</w:t>
            </w:r>
          </w:p>
        </w:tc>
        <w:tc>
          <w:tcPr>
            <w:tcW w:type="dxa" w:w="6545"/>
            <w:shd w:fill="F2F7F6" w:val="clear"/>
            <w:tcMar>
              <w:top w:type="dxa" w:w="80"/>
              <w:left w:type="dxa" w:w="100"/>
              <w:bottom w:type="dxa" w:w="80"/>
              <w:right w:type="dxa" w:w="100"/>
            </w:tcMar>
          </w:tcPr>
          <w:p>
            <w:r>
              <w:rPr>
                <w:color w:val="1A1A1A"/>
                <w:sz w:val="19"/>
                <w:szCs w:val="19"/>
              </w:rPr>
              <w:t xml:space="preserve">A consistent checklist across nearly every respondent: a free trial, seeing a demo first, assurance the data is secure, and hearing that someone else already uses it.</w:t>
            </w:r>
          </w:p>
        </w:tc>
      </w:tr>
      <w:tr>
        <w:tc>
          <w:tcPr>
            <w:tcW w:type="dxa" w:w="2805"/>
            <w:tcMar>
              <w:top w:type="dxa" w:w="80"/>
              <w:left w:type="dxa" w:w="100"/>
              <w:bottom w:type="dxa" w:w="80"/>
              <w:right w:type="dxa" w:w="100"/>
            </w:tcMar>
          </w:tcPr>
          <w:p>
            <w:r>
              <w:rPr>
                <w:color w:val="1A1A1A"/>
                <w:sz w:val="19"/>
                <w:szCs w:val="19"/>
              </w:rPr>
              <w:t xml:space="preserve">Tech comfort</w:t>
            </w:r>
          </w:p>
        </w:tc>
        <w:tc>
          <w:tcPr>
            <w:tcW w:type="dxa" w:w="6545"/>
            <w:tcMar>
              <w:top w:type="dxa" w:w="80"/>
              <w:left w:type="dxa" w:w="100"/>
              <w:bottom w:type="dxa" w:w="80"/>
              <w:right w:type="dxa" w:w="100"/>
            </w:tcMar>
          </w:tcPr>
          <w:p>
            <w:r>
              <w:rPr>
                <w:color w:val="1A1A1A"/>
                <w:sz w:val="19"/>
                <w:szCs w:val="19"/>
              </w:rPr>
              <w:t xml:space="preserve">Mixed among owners themselves, but staff were consistently reported as comfortable with phones — relevant to who actually runs SELL MODE day to day.</w:t>
            </w:r>
          </w:p>
        </w:tc>
      </w:tr>
      <w:tr>
        <w:tc>
          <w:tcPr>
            <w:tcW w:type="dxa" w:w="2805"/>
            <w:shd w:fill="F2F7F6" w:val="clear"/>
            <w:tcMar>
              <w:top w:type="dxa" w:w="80"/>
              <w:left w:type="dxa" w:w="100"/>
              <w:bottom w:type="dxa" w:w="80"/>
              <w:right w:type="dxa" w:w="100"/>
            </w:tcMar>
          </w:tcPr>
          <w:p>
            <w:r>
              <w:rPr>
                <w:color w:val="1A1A1A"/>
                <w:sz w:val="19"/>
                <w:szCs w:val="19"/>
              </w:rPr>
              <w:t xml:space="preserve">M-Pesa confirmation time</w:t>
            </w:r>
          </w:p>
        </w:tc>
        <w:tc>
          <w:tcPr>
            <w:tcW w:type="dxa" w:w="6545"/>
            <w:shd w:fill="F2F7F6" w:val="clear"/>
            <w:tcMar>
              <w:top w:type="dxa" w:w="80"/>
              <w:left w:type="dxa" w:w="100"/>
              <w:bottom w:type="dxa" w:w="80"/>
              <w:right w:type="dxa" w:w="100"/>
            </w:tcMar>
          </w:tcPr>
          <w:p>
            <w:r>
              <w:rPr>
                <w:color w:val="1A1A1A"/>
                <w:sz w:val="19"/>
                <w:szCs w:val="19"/>
              </w:rPr>
              <w:t xml:space="preserve">Self-reported at under 10 minutes for most respondents who answered — softer friction than v1.0 assumed, concentrated more in confirmation delay/disputes than bulk reconciliation effort.</w:t>
            </w:r>
          </w:p>
        </w:tc>
      </w:tr>
    </w:tbl>
    <w:p>
      <w:pPr>
        <w:spacing w:after="160"/>
      </w:pPr>
    </w:p>
    <w:p>
      <w:pPr>
        <w:pStyle w:val="Heading2"/>
        <w:spacing w:after="120" w:before="300"/>
      </w:pPr>
      <w:r>
        <w:rPr>
          <w:b/>
          <w:bCs/>
          <w:color w:val="1A1A1A"/>
          <w:sz w:val="24"/>
          <w:szCs w:val="24"/>
        </w:rPr>
        <w:t xml:space="preserve">Market Size (unchanged from v1.0, pending a fuller sample)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79"/>
        <w:gridCol w:w="6171"/>
      </w:tblGrid>
      <w:tr>
        <w:tc>
          <w:tcPr>
            <w:tcW w:type="dxa" w:w="3179"/>
            <w:shd w:fill="F2F7F6" w:val="clear"/>
            <w:tcMar>
              <w:top w:type="dxa" w:w="100"/>
              <w:left w:type="dxa" w:w="120"/>
              <w:bottom w:type="dxa" w:w="100"/>
              <w:right w:type="dxa" w:w="120"/>
            </w:tcMar>
          </w:tcPr>
          <w:p>
            <w:r>
              <w:rPr>
                <w:b/>
                <w:bCs/>
                <w:color w:val="0E7C6B"/>
                <w:sz w:val="20"/>
                <w:szCs w:val="20"/>
              </w:rPr>
              <w:t xml:space="preserve">TAM — Total Addressable Market</w:t>
            </w:r>
          </w:p>
        </w:tc>
        <w:tc>
          <w:tcPr>
            <w:tcW w:type="dxa" w:w="6171"/>
            <w:tcMar>
              <w:top w:type="dxa" w:w="100"/>
              <w:left w:type="dxa" w:w="120"/>
              <w:bottom w:type="dxa" w:w="100"/>
              <w:right w:type="dxa" w:w="120"/>
            </w:tcMar>
          </w:tcPr>
          <w:p>
            <w:r>
              <w:rPr>
                <w:b w:val="false"/>
                <w:bCs w:val="false"/>
                <w:color w:val="1A1A1A"/>
                <w:sz w:val="20"/>
                <w:szCs w:val="20"/>
              </w:rPr>
              <w:t xml:space="preserve">7.4M registered SMEs in Kenya (Kenya National Bureau of Statistics)</w:t>
            </w:r>
          </w:p>
        </w:tc>
      </w:tr>
      <w:tr>
        <w:tc>
          <w:tcPr>
            <w:tcW w:type="dxa" w:w="3179"/>
            <w:shd w:fill="F2F7F6" w:val="clear"/>
            <w:tcMar>
              <w:top w:type="dxa" w:w="100"/>
              <w:left w:type="dxa" w:w="120"/>
              <w:bottom w:type="dxa" w:w="100"/>
              <w:right w:type="dxa" w:w="120"/>
            </w:tcMar>
          </w:tcPr>
          <w:p>
            <w:r>
              <w:rPr>
                <w:b/>
                <w:bCs/>
                <w:color w:val="0E7C6B"/>
                <w:sz w:val="20"/>
                <w:szCs w:val="20"/>
              </w:rPr>
              <w:t xml:space="preserve">SAM — Serviceable Addressable Market</w:t>
            </w:r>
          </w:p>
        </w:tc>
        <w:tc>
          <w:tcPr>
            <w:tcW w:type="dxa" w:w="6171"/>
            <w:tcMar>
              <w:top w:type="dxa" w:w="100"/>
              <w:left w:type="dxa" w:w="120"/>
              <w:bottom w:type="dxa" w:w="100"/>
              <w:right w:type="dxa" w:w="120"/>
            </w:tcMar>
          </w:tcPr>
          <w:p>
            <w:r>
              <w:rPr>
                <w:b w:val="false"/>
                <w:bCs w:val="false"/>
                <w:color w:val="1A1A1A"/>
                <w:sz w:val="20"/>
                <w:szCs w:val="20"/>
              </w:rPr>
              <w:t xml:space="preserve">~1.2M retail/trade SMEs actively using M-Pesa for transactions</w:t>
            </w:r>
          </w:p>
        </w:tc>
      </w:tr>
      <w:tr>
        <w:tc>
          <w:tcPr>
            <w:tcW w:type="dxa" w:w="3179"/>
            <w:shd w:fill="F2F7F6" w:val="clear"/>
            <w:tcMar>
              <w:top w:type="dxa" w:w="100"/>
              <w:left w:type="dxa" w:w="120"/>
              <w:bottom w:type="dxa" w:w="100"/>
              <w:right w:type="dxa" w:w="120"/>
            </w:tcMar>
          </w:tcPr>
          <w:p>
            <w:r>
              <w:rPr>
                <w:b/>
                <w:bCs/>
                <w:color w:val="0E7C6B"/>
                <w:sz w:val="20"/>
                <w:szCs w:val="20"/>
              </w:rPr>
              <w:t xml:space="preserve">SOM — Year 1 Target</w:t>
            </w:r>
          </w:p>
        </w:tc>
        <w:tc>
          <w:tcPr>
            <w:tcW w:type="dxa" w:w="6171"/>
            <w:tcMar>
              <w:top w:type="dxa" w:w="100"/>
              <w:left w:type="dxa" w:w="120"/>
              <w:bottom w:type="dxa" w:w="100"/>
              <w:right w:type="dxa" w:w="120"/>
            </w:tcMar>
          </w:tcPr>
          <w:p>
            <w:r>
              <w:rPr>
                <w:b w:val="false"/>
                <w:bCs w:val="false"/>
                <w:color w:val="1A1A1A"/>
                <w:sz w:val="20"/>
                <w:szCs w:val="20"/>
              </w:rPr>
              <w:t xml:space="preserve">SMEs in the verticals validated in discovery; target set after pilot results are in, not before</w:t>
            </w:r>
          </w:p>
        </w:tc>
      </w:tr>
    </w:tbl>
    <w:p>
      <w:pPr>
        <w:spacing w:after="160"/>
      </w:pPr>
      <w:r>
        <w:rPr>
          <w:i/>
          <w:iCs/>
          <w:color w:val="595959"/>
          <w:sz w:val="21"/>
          <w:szCs w:val="21"/>
        </w:rPr>
        <w:t xml:space="preserve">We’re intentionally not re-deriving a new SOM figure until pilot data gives us a real conversion rate to anchor it to — restating the old number with new confidence would be the same mistake v1.0 made in reverse.</w:t>
      </w:r>
    </w:p>
    <w:p>
      <w:pPr>
        <w:pStyle w:val="Heading1"/>
        <w:pBdr>
          <w:bottom w:val="single" w:color="0E7C6B" w:sz="12" w:space="6"/>
        </w:pBdr>
        <w:spacing w:after="200" w:before="480"/>
      </w:pPr>
      <w:r>
        <w:rPr>
          <w:b/>
          <w:bCs/>
          <w:color w:val="0E7C6B"/>
          <w:sz w:val="30"/>
          <w:szCs w:val="30"/>
        </w:rPr>
        <w:t xml:space="preserve">5. VALIDATION — PROVING PEOPLE WILL PAY</w:t>
      </w:r>
    </w:p>
    <w:p>
      <w:pPr>
        <w:spacing w:after="160"/>
      </w:pPr>
      <w:r>
        <w:rPr>
          <w:color w:val="1A1A1A"/>
          <w:sz w:val="21"/>
          <w:szCs w:val="21"/>
        </w:rPr>
        <w:t xml:space="preserve">This is the section that changed the most between versions, and deliberately so. v1.0 assumed a pre-build validation gate: interviews, a waiting list, and paid deposits, all before writing code. In practice, we sequenced it differently — and that sequencing was a deliberate decision, not a shortcut.</w:t>
      </w:r>
    </w:p>
    <w:p>
      <w:pPr>
        <w:pStyle w:val="Heading2"/>
        <w:spacing w:after="120" w:before="300"/>
      </w:pPr>
      <w:r>
        <w:rPr>
          <w:b/>
          <w:bCs/>
          <w:color w:val="1A1A1A"/>
          <w:sz w:val="24"/>
          <w:szCs w:val="24"/>
        </w:rPr>
        <w:t xml:space="preserve">The Actual Sequence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5236"/>
      </w:tblGrid>
      <w:tr>
        <w:trPr>
          <w:tblHeader/>
        </w:trPr>
        <w:tc>
          <w:tcPr>
            <w:tcW w:type="dxa" w:w="2057"/>
            <w:shd w:fill="0E7C6B" w:val="clear"/>
            <w:tcMar>
              <w:top w:type="dxa" w:w="80"/>
              <w:left w:type="dxa" w:w="100"/>
              <w:bottom w:type="dxa" w:w="80"/>
              <w:right w:type="dxa" w:w="100"/>
            </w:tcMar>
          </w:tcPr>
          <w:p>
            <w:r>
              <w:rPr>
                <w:b/>
                <w:bCs/>
                <w:color w:val="FFFFFF"/>
                <w:sz w:val="19"/>
                <w:szCs w:val="19"/>
              </w:rPr>
              <w:t xml:space="preserve">Stage</w:t>
            </w:r>
          </w:p>
        </w:tc>
        <w:tc>
          <w:tcPr>
            <w:tcW w:type="dxa" w:w="2057"/>
            <w:shd w:fill="0E7C6B" w:val="clear"/>
            <w:tcMar>
              <w:top w:type="dxa" w:w="80"/>
              <w:left w:type="dxa" w:w="100"/>
              <w:bottom w:type="dxa" w:w="80"/>
              <w:right w:type="dxa" w:w="100"/>
            </w:tcMar>
          </w:tcPr>
          <w:p>
            <w:r>
              <w:rPr>
                <w:b/>
                <w:bCs/>
                <w:color w:val="FFFFFF"/>
                <w:sz w:val="19"/>
                <w:szCs w:val="19"/>
              </w:rPr>
              <w:t xml:space="preserve">Status</w:t>
            </w:r>
          </w:p>
        </w:tc>
        <w:tc>
          <w:tcPr>
            <w:tcW w:type="dxa" w:w="5236"/>
            <w:shd w:fill="0E7C6B" w:val="clear"/>
            <w:tcMar>
              <w:top w:type="dxa" w:w="80"/>
              <w:left w:type="dxa" w:w="100"/>
              <w:bottom w:type="dxa" w:w="80"/>
              <w:right w:type="dxa" w:w="100"/>
            </w:tcMar>
          </w:tcPr>
          <w:p>
            <w:r>
              <w:rPr>
                <w:b/>
                <w:bCs/>
                <w:color w:val="FFFFFF"/>
                <w:sz w:val="19"/>
                <w:szCs w:val="19"/>
              </w:rPr>
              <w:t xml:space="preserve">Detail</w:t>
            </w:r>
          </w:p>
        </w:tc>
      </w:tr>
      <w:tr>
        <w:tc>
          <w:tcPr>
            <w:tcW w:type="dxa" w:w="2057"/>
            <w:tcMar>
              <w:top w:type="dxa" w:w="80"/>
              <w:left w:type="dxa" w:w="100"/>
              <w:bottom w:type="dxa" w:w="80"/>
              <w:right w:type="dxa" w:w="100"/>
            </w:tcMar>
          </w:tcPr>
          <w:p>
            <w:r>
              <w:rPr>
                <w:color w:val="1A1A1A"/>
                <w:sz w:val="19"/>
                <w:szCs w:val="19"/>
              </w:rPr>
              <w:t xml:space="preserve">Discovery interviews</w:t>
            </w:r>
          </w:p>
        </w:tc>
        <w:tc>
          <w:tcPr>
            <w:tcW w:type="dxa" w:w="2057"/>
            <w:tcMar>
              <w:top w:type="dxa" w:w="80"/>
              <w:left w:type="dxa" w:w="100"/>
              <w:bottom w:type="dxa" w:w="80"/>
              <w:right w:type="dxa" w:w="100"/>
            </w:tcMar>
          </w:tcPr>
          <w:p>
            <w:r>
              <w:rPr>
                <w:color w:val="1A1A1A"/>
                <w:sz w:val="19"/>
                <w:szCs w:val="19"/>
              </w:rPr>
              <w:t xml:space="preserve">Complete</w:t>
            </w:r>
          </w:p>
        </w:tc>
        <w:tc>
          <w:tcPr>
            <w:tcW w:type="dxa" w:w="5236"/>
            <w:tcMar>
              <w:top w:type="dxa" w:w="80"/>
              <w:left w:type="dxa" w:w="100"/>
              <w:bottom w:type="dxa" w:w="80"/>
              <w:right w:type="dxa" w:w="100"/>
            </w:tcMar>
          </w:tcPr>
          <w:p>
            <w:r>
              <w:rPr>
                <w:color w:val="1A1A1A"/>
                <w:sz w:val="19"/>
                <w:szCs w:val="19"/>
              </w:rPr>
              <w:t xml:space="preserve">Real SME owners interviewed across multiple verticals (Section 4); pain points and price sensitivity captured directly, not assumed.</w:t>
            </w:r>
          </w:p>
        </w:tc>
      </w:tr>
      <w:tr>
        <w:tc>
          <w:tcPr>
            <w:tcW w:type="dxa" w:w="2057"/>
            <w:shd w:fill="F2F7F6" w:val="clear"/>
            <w:tcMar>
              <w:top w:type="dxa" w:w="80"/>
              <w:left w:type="dxa" w:w="100"/>
              <w:bottom w:type="dxa" w:w="80"/>
              <w:right w:type="dxa" w:w="100"/>
            </w:tcMar>
          </w:tcPr>
          <w:p>
            <w:r>
              <w:rPr>
                <w:color w:val="1A1A1A"/>
                <w:sz w:val="19"/>
                <w:szCs w:val="19"/>
              </w:rPr>
              <w:t xml:space="preserve">Paid waiting-list deposit</w:t>
            </w:r>
          </w:p>
        </w:tc>
        <w:tc>
          <w:tcPr>
            <w:tcW w:type="dxa" w:w="2057"/>
            <w:shd w:fill="F2F7F6" w:val="clear"/>
            <w:tcMar>
              <w:top w:type="dxa" w:w="80"/>
              <w:left w:type="dxa" w:w="100"/>
              <w:bottom w:type="dxa" w:w="80"/>
              <w:right w:type="dxa" w:w="100"/>
            </w:tcMar>
          </w:tcPr>
          <w:p>
            <w:r>
              <w:rPr>
                <w:color w:val="1A1A1A"/>
                <w:sz w:val="19"/>
                <w:szCs w:val="19"/>
              </w:rPr>
              <w:t xml:space="preserve">Deliberately skipped</w:t>
            </w:r>
          </w:p>
        </w:tc>
        <w:tc>
          <w:tcPr>
            <w:tcW w:type="dxa" w:w="5236"/>
            <w:shd w:fill="F2F7F6" w:val="clear"/>
            <w:tcMar>
              <w:top w:type="dxa" w:w="80"/>
              <w:left w:type="dxa" w:w="100"/>
              <w:bottom w:type="dxa" w:w="80"/>
              <w:right w:type="dxa" w:w="100"/>
            </w:tcMar>
          </w:tcPr>
          <w:p>
            <w:r>
              <w:rPr>
                <w:color w:val="1A1A1A"/>
                <w:sz w:val="19"/>
                <w:szCs w:val="19"/>
              </w:rPr>
              <w:t xml:space="preserve">A decision was made after the first round of interviews not to collect a waiting-list deposit at that stage.</w:t>
            </w:r>
          </w:p>
        </w:tc>
      </w:tr>
      <w:tr>
        <w:tc>
          <w:tcPr>
            <w:tcW w:type="dxa" w:w="2057"/>
            <w:tcMar>
              <w:top w:type="dxa" w:w="80"/>
              <w:left w:type="dxa" w:w="100"/>
              <w:bottom w:type="dxa" w:w="80"/>
              <w:right w:type="dxa" w:w="100"/>
            </w:tcMar>
          </w:tcPr>
          <w:p>
            <w:r>
              <w:rPr>
                <w:color w:val="1A1A1A"/>
                <w:sz w:val="19"/>
                <w:szCs w:val="19"/>
              </w:rPr>
              <w:t xml:space="preserve">Product build</w:t>
            </w:r>
          </w:p>
        </w:tc>
        <w:tc>
          <w:tcPr>
            <w:tcW w:type="dxa" w:w="2057"/>
            <w:tcMar>
              <w:top w:type="dxa" w:w="80"/>
              <w:left w:type="dxa" w:w="100"/>
              <w:bottom w:type="dxa" w:w="80"/>
              <w:right w:type="dxa" w:w="100"/>
            </w:tcMar>
          </w:tcPr>
          <w:p>
            <w:r>
              <w:rPr>
                <w:color w:val="1A1A1A"/>
                <w:sz w:val="19"/>
                <w:szCs w:val="19"/>
              </w:rPr>
              <w:t xml:space="preserve">Core engine (Phases 0–6) complete and in daily use; taxonomy (Phase 8) drafted</w:t>
            </w:r>
          </w:p>
        </w:tc>
        <w:tc>
          <w:tcPr>
            <w:tcW w:type="dxa" w:w="5236"/>
            <w:tcMar>
              <w:top w:type="dxa" w:w="80"/>
              <w:left w:type="dxa" w:w="100"/>
              <w:bottom w:type="dxa" w:w="80"/>
              <w:right w:type="dxa" w:w="100"/>
            </w:tcMar>
          </w:tcPr>
          <w:p>
            <w:r>
              <w:rPr>
                <w:color w:val="1A1A1A"/>
                <w:sz w:val="19"/>
                <w:szCs w:val="19"/>
              </w:rPr>
              <w:t xml:space="preserve">See Section 7 for the real build history and what’s still ahead.</w:t>
            </w:r>
          </w:p>
        </w:tc>
      </w:tr>
      <w:tr>
        <w:tc>
          <w:tcPr>
            <w:tcW w:type="dxa" w:w="2057"/>
            <w:shd w:fill="F2F7F6" w:val="clear"/>
            <w:tcMar>
              <w:top w:type="dxa" w:w="80"/>
              <w:left w:type="dxa" w:w="100"/>
              <w:bottom w:type="dxa" w:w="80"/>
              <w:right w:type="dxa" w:w="100"/>
            </w:tcMar>
          </w:tcPr>
          <w:p>
            <w:r>
              <w:rPr>
                <w:color w:val="1A1A1A"/>
                <w:sz w:val="19"/>
                <w:szCs w:val="19"/>
              </w:rPr>
              <w:t xml:space="preserve">Live pilot</w:t>
            </w:r>
          </w:p>
        </w:tc>
        <w:tc>
          <w:tcPr>
            <w:tcW w:type="dxa" w:w="2057"/>
            <w:shd w:fill="F2F7F6" w:val="clear"/>
            <w:tcMar>
              <w:top w:type="dxa" w:w="80"/>
              <w:left w:type="dxa" w:w="100"/>
              <w:bottom w:type="dxa" w:w="80"/>
              <w:right w:type="dxa" w:w="100"/>
            </w:tcMar>
          </w:tcPr>
          <w:p>
            <w:r>
              <w:rPr>
                <w:color w:val="1A1A1A"/>
                <w:sz w:val="19"/>
                <w:szCs w:val="19"/>
              </w:rPr>
              <w:t xml:space="preserve">Launching this week</w:t>
            </w:r>
          </w:p>
        </w:tc>
        <w:tc>
          <w:tcPr>
            <w:tcW w:type="dxa" w:w="5236"/>
            <w:shd w:fill="F2F7F6" w:val="clear"/>
            <w:tcMar>
              <w:top w:type="dxa" w:w="80"/>
              <w:left w:type="dxa" w:w="100"/>
              <w:bottom w:type="dxa" w:w="80"/>
              <w:right w:type="dxa" w:w="100"/>
            </w:tcMar>
          </w:tcPr>
          <w:p>
            <w:r>
              <w:rPr>
                <w:color w:val="1A1A1A"/>
                <w:sz w:val="19"/>
                <w:szCs w:val="19"/>
              </w:rPr>
              <w:t xml:space="preserve">Real businesses using the real product in their real operations — see Section 9.</w:t>
            </w:r>
          </w:p>
        </w:tc>
      </w:tr>
      <w:tr>
        <w:tc>
          <w:tcPr>
            <w:tcW w:type="dxa" w:w="2057"/>
            <w:tcMar>
              <w:top w:type="dxa" w:w="80"/>
              <w:left w:type="dxa" w:w="100"/>
              <w:bottom w:type="dxa" w:w="80"/>
              <w:right w:type="dxa" w:w="100"/>
            </w:tcMar>
          </w:tcPr>
          <w:p>
            <w:r>
              <w:rPr>
                <w:color w:val="1A1A1A"/>
                <w:sz w:val="19"/>
                <w:szCs w:val="19"/>
              </w:rPr>
              <w:t xml:space="preserve">Paid conversion</w:t>
            </w:r>
          </w:p>
        </w:tc>
        <w:tc>
          <w:tcPr>
            <w:tcW w:type="dxa" w:w="2057"/>
            <w:tcMar>
              <w:top w:type="dxa" w:w="80"/>
              <w:left w:type="dxa" w:w="100"/>
              <w:bottom w:type="dxa" w:w="80"/>
              <w:right w:type="dxa" w:w="100"/>
            </w:tcMar>
          </w:tcPr>
          <w:p>
            <w:r>
              <w:rPr>
                <w:color w:val="1A1A1A"/>
                <w:sz w:val="19"/>
                <w:szCs w:val="19"/>
              </w:rPr>
              <w:t xml:space="preserve">Planned for pilot close</w:t>
            </w:r>
          </w:p>
        </w:tc>
        <w:tc>
          <w:tcPr>
            <w:tcW w:type="dxa" w:w="5236"/>
            <w:tcMar>
              <w:top w:type="dxa" w:w="80"/>
              <w:left w:type="dxa" w:w="100"/>
              <w:bottom w:type="dxa" w:w="80"/>
              <w:right w:type="dxa" w:w="100"/>
            </w:tcMar>
          </w:tcPr>
          <w:p>
            <w:r>
              <w:rPr>
                <w:color w:val="1A1A1A"/>
                <w:sz w:val="19"/>
                <w:szCs w:val="19"/>
              </w:rPr>
              <w:t xml:space="preserve">Pilot participants will be asked to convert to paying once they’ve used the product, not before — the pilot itself is the validation, and paying afterward is the proof.</w:t>
            </w:r>
          </w:p>
        </w:tc>
      </w:tr>
    </w:tbl>
    <w:p>
      <w:pPr>
        <w:spacing w:after="160"/>
      </w:pPr>
    </w:p>
    <w:p>
      <w:pPr>
        <w:pBdr>
          <w:top w:val="single" w:color="0E7C6B" w:sz="6" w:space="4"/>
          <w:bottom w:val="single" w:color="0E7C6B" w:sz="6" w:space="4"/>
          <w:left w:val="single" w:color="0E7C6B" w:sz="6" w:space="4"/>
          <w:right w:val="single" w:color="0E7C6B" w:sz="6" w:space="4"/>
        </w:pBdr>
        <w:shd w:fill="F2F7F6" w:val="clear"/>
        <w:spacing w:after="200" w:before="80"/>
      </w:pPr>
      <w:r>
        <w:rPr>
          <w:i/>
          <w:iCs/>
          <w:color w:val="1A1A1A"/>
          <w:sz w:val="20"/>
          <w:szCs w:val="20"/>
        </w:rPr>
        <w:t xml:space="preserve">Why defer payment to after the pilot rather than before: asking an SME owner to pay before they’ve seen the product work in their own shop, for their own stock, sets a much higher bar than asking them to pay once it has already saved them time or caught a mistake. The trust checklist that came back from nearly every interview — trial first, demo first, data security, social proof — points the same direction. This is a considered choice given what discovery actually surfaced, not a missed step.</w:t>
      </w:r>
    </w:p>
    <w:p>
      <w:pPr>
        <w:pStyle w:val="Heading2"/>
        <w:spacing w:after="120" w:before="300"/>
      </w:pPr>
      <w:r>
        <w:rPr>
          <w:b/>
          <w:bCs/>
          <w:color w:val="1A1A1A"/>
          <w:sz w:val="24"/>
          <w:szCs w:val="24"/>
        </w:rPr>
        <w:t xml:space="preserve">Revised Validation Success Criteria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2244"/>
        <w:gridCol w:w="4301"/>
      </w:tblGrid>
      <w:tr>
        <w:trPr>
          <w:tblHeader/>
        </w:trPr>
        <w:tc>
          <w:tcPr>
            <w:tcW w:type="dxa" w:w="2805"/>
            <w:shd w:fill="0E7C6B" w:val="clear"/>
            <w:tcMar>
              <w:top w:type="dxa" w:w="80"/>
              <w:left w:type="dxa" w:w="100"/>
              <w:bottom w:type="dxa" w:w="80"/>
              <w:right w:type="dxa" w:w="100"/>
            </w:tcMar>
          </w:tcPr>
          <w:p>
            <w:r>
              <w:rPr>
                <w:b/>
                <w:bCs/>
                <w:color w:val="FFFFFF"/>
                <w:sz w:val="19"/>
                <w:szCs w:val="19"/>
              </w:rPr>
              <w:t xml:space="preserve">Metric</w:t>
            </w:r>
          </w:p>
        </w:tc>
        <w:tc>
          <w:tcPr>
            <w:tcW w:type="dxa" w:w="2244"/>
            <w:shd w:fill="0E7C6B" w:val="clear"/>
            <w:tcMar>
              <w:top w:type="dxa" w:w="80"/>
              <w:left w:type="dxa" w:w="100"/>
              <w:bottom w:type="dxa" w:w="80"/>
              <w:right w:type="dxa" w:w="100"/>
            </w:tcMar>
          </w:tcPr>
          <w:p>
            <w:r>
              <w:rPr>
                <w:b/>
                <w:bCs/>
                <w:color w:val="FFFFFF"/>
                <w:sz w:val="19"/>
                <w:szCs w:val="19"/>
              </w:rPr>
              <w:t xml:space="preserve">Target</w:t>
            </w:r>
          </w:p>
        </w:tc>
        <w:tc>
          <w:tcPr>
            <w:tcW w:type="dxa" w:w="4301"/>
            <w:shd w:fill="0E7C6B" w:val="clear"/>
            <w:tcMar>
              <w:top w:type="dxa" w:w="80"/>
              <w:left w:type="dxa" w:w="100"/>
              <w:bottom w:type="dxa" w:w="80"/>
              <w:right w:type="dxa" w:w="100"/>
            </w:tcMar>
          </w:tcPr>
          <w:p>
            <w:r>
              <w:rPr>
                <w:b/>
                <w:bCs/>
                <w:color w:val="FFFFFF"/>
                <w:sz w:val="19"/>
                <w:szCs w:val="19"/>
              </w:rPr>
              <w:t xml:space="preserve">What it proves</w:t>
            </w:r>
          </w:p>
        </w:tc>
      </w:tr>
      <w:tr>
        <w:tc>
          <w:tcPr>
            <w:tcW w:type="dxa" w:w="2805"/>
            <w:tcMar>
              <w:top w:type="dxa" w:w="80"/>
              <w:left w:type="dxa" w:w="100"/>
              <w:bottom w:type="dxa" w:w="80"/>
              <w:right w:type="dxa" w:w="100"/>
            </w:tcMar>
          </w:tcPr>
          <w:p>
            <w:r>
              <w:rPr>
                <w:color w:val="1A1A1A"/>
                <w:sz w:val="19"/>
                <w:szCs w:val="19"/>
              </w:rPr>
              <w:t xml:space="preserve">Businesses interviewed in discovery</w:t>
            </w:r>
          </w:p>
        </w:tc>
        <w:tc>
          <w:tcPr>
            <w:tcW w:type="dxa" w:w="2244"/>
            <w:tcMar>
              <w:top w:type="dxa" w:w="80"/>
              <w:left w:type="dxa" w:w="100"/>
              <w:bottom w:type="dxa" w:w="80"/>
              <w:right w:type="dxa" w:w="100"/>
            </w:tcMar>
          </w:tcPr>
          <w:p>
            <w:r>
              <w:rPr>
                <w:color w:val="1A1A1A"/>
                <w:sz w:val="19"/>
                <w:szCs w:val="19"/>
              </w:rPr>
              <w:t xml:space="preserve">9 unique respondents reviewed here (across Duka/Kiosk, Stationery, Hardware, and Boutique); more likely exist in a fuller, unconsolidated set</w:t>
            </w:r>
          </w:p>
        </w:tc>
        <w:tc>
          <w:tcPr>
            <w:tcW w:type="dxa" w:w="4301"/>
            <w:tcMar>
              <w:top w:type="dxa" w:w="80"/>
              <w:left w:type="dxa" w:w="100"/>
              <w:bottom w:type="dxa" w:w="80"/>
              <w:right w:type="dxa" w:w="100"/>
            </w:tcMar>
          </w:tcPr>
          <w:p>
            <w:r>
              <w:rPr>
                <w:color w:val="1A1A1A"/>
                <w:sz w:val="19"/>
                <w:szCs w:val="19"/>
              </w:rPr>
              <w:t xml:space="preserve">Genuine demand and real pain points exist, in the owners’ own words</w:t>
            </w:r>
          </w:p>
        </w:tc>
      </w:tr>
      <w:tr>
        <w:tc>
          <w:tcPr>
            <w:tcW w:type="dxa" w:w="2805"/>
            <w:shd w:fill="F2F7F6" w:val="clear"/>
            <w:tcMar>
              <w:top w:type="dxa" w:w="80"/>
              <w:left w:type="dxa" w:w="100"/>
              <w:bottom w:type="dxa" w:w="80"/>
              <w:right w:type="dxa" w:w="100"/>
            </w:tcMar>
          </w:tcPr>
          <w:p>
            <w:r>
              <w:rPr>
                <w:color w:val="1A1A1A"/>
                <w:sz w:val="19"/>
                <w:szCs w:val="19"/>
              </w:rPr>
              <w:t xml:space="preserve">Pilot businesses onboarded</w:t>
            </w:r>
          </w:p>
        </w:tc>
        <w:tc>
          <w:tcPr>
            <w:tcW w:type="dxa" w:w="2244"/>
            <w:shd w:fill="F2F7F6" w:val="clear"/>
            <w:tcMar>
              <w:top w:type="dxa" w:w="80"/>
              <w:left w:type="dxa" w:w="100"/>
              <w:bottom w:type="dxa" w:w="80"/>
              <w:right w:type="dxa" w:w="100"/>
            </w:tcMar>
          </w:tcPr>
          <w:p>
            <w:r>
              <w:rPr>
                <w:color w:val="1A1A1A"/>
                <w:sz w:val="19"/>
                <w:szCs w:val="19"/>
              </w:rPr>
              <w:t xml:space="preserve">5–10 to start this week</w:t>
            </w:r>
          </w:p>
        </w:tc>
        <w:tc>
          <w:tcPr>
            <w:tcW w:type="dxa" w:w="4301"/>
            <w:shd w:fill="F2F7F6" w:val="clear"/>
            <w:tcMar>
              <w:top w:type="dxa" w:w="80"/>
              <w:left w:type="dxa" w:w="100"/>
              <w:bottom w:type="dxa" w:w="80"/>
              <w:right w:type="dxa" w:w="100"/>
            </w:tcMar>
          </w:tcPr>
          <w:p>
            <w:r>
              <w:rPr>
                <w:color w:val="1A1A1A"/>
                <w:sz w:val="19"/>
                <w:szCs w:val="19"/>
              </w:rPr>
              <w:t xml:space="preserve">The product works in real conditions, not just a demo</w:t>
            </w:r>
          </w:p>
        </w:tc>
      </w:tr>
      <w:tr>
        <w:tc>
          <w:tcPr>
            <w:tcW w:type="dxa" w:w="2805"/>
            <w:tcMar>
              <w:top w:type="dxa" w:w="80"/>
              <w:left w:type="dxa" w:w="100"/>
              <w:bottom w:type="dxa" w:w="80"/>
              <w:right w:type="dxa" w:w="100"/>
            </w:tcMar>
          </w:tcPr>
          <w:p>
            <w:r>
              <w:rPr>
                <w:color w:val="1A1A1A"/>
                <w:sz w:val="19"/>
                <w:szCs w:val="19"/>
              </w:rPr>
              <w:t xml:space="preserve">Day-30 pilot retention</w:t>
            </w:r>
          </w:p>
        </w:tc>
        <w:tc>
          <w:tcPr>
            <w:tcW w:type="dxa" w:w="2244"/>
            <w:tcMar>
              <w:top w:type="dxa" w:w="80"/>
              <w:left w:type="dxa" w:w="100"/>
              <w:bottom w:type="dxa" w:w="80"/>
              <w:right w:type="dxa" w:w="100"/>
            </w:tcMar>
          </w:tcPr>
          <w:p>
            <w:r>
              <w:rPr>
                <w:color w:val="1A1A1A"/>
                <w:sz w:val="19"/>
                <w:szCs w:val="19"/>
              </w:rPr>
              <w:t xml:space="preserve">70%+</w:t>
            </w:r>
          </w:p>
        </w:tc>
        <w:tc>
          <w:tcPr>
            <w:tcW w:type="dxa" w:w="4301"/>
            <w:tcMar>
              <w:top w:type="dxa" w:w="80"/>
              <w:left w:type="dxa" w:w="100"/>
              <w:bottom w:type="dxa" w:w="80"/>
              <w:right w:type="dxa" w:w="100"/>
            </w:tcMar>
          </w:tcPr>
          <w:p>
            <w:r>
              <w:rPr>
                <w:color w:val="1A1A1A"/>
                <w:sz w:val="19"/>
                <w:szCs w:val="19"/>
              </w:rPr>
              <w:t xml:space="preserve">The product earns continued daily use once the novelty wears off</w:t>
            </w:r>
          </w:p>
        </w:tc>
      </w:tr>
      <w:tr>
        <w:tc>
          <w:tcPr>
            <w:tcW w:type="dxa" w:w="2805"/>
            <w:shd w:fill="F2F7F6" w:val="clear"/>
            <w:tcMar>
              <w:top w:type="dxa" w:w="80"/>
              <w:left w:type="dxa" w:w="100"/>
              <w:bottom w:type="dxa" w:w="80"/>
              <w:right w:type="dxa" w:w="100"/>
            </w:tcMar>
          </w:tcPr>
          <w:p>
            <w:r>
              <w:rPr>
                <w:color w:val="1A1A1A"/>
                <w:sz w:val="19"/>
                <w:szCs w:val="19"/>
              </w:rPr>
              <w:t xml:space="preserve">Conversion to paid at pilot close</w:t>
            </w:r>
          </w:p>
        </w:tc>
        <w:tc>
          <w:tcPr>
            <w:tcW w:type="dxa" w:w="2244"/>
            <w:shd w:fill="F2F7F6" w:val="clear"/>
            <w:tcMar>
              <w:top w:type="dxa" w:w="80"/>
              <w:left w:type="dxa" w:w="100"/>
              <w:bottom w:type="dxa" w:w="80"/>
              <w:right w:type="dxa" w:w="100"/>
            </w:tcMar>
          </w:tcPr>
          <w:p>
            <w:r>
              <w:rPr>
                <w:color w:val="1A1A1A"/>
                <w:sz w:val="19"/>
                <w:szCs w:val="19"/>
              </w:rPr>
              <w:t xml:space="preserve">Target set after pilot results are in</w:t>
            </w:r>
          </w:p>
        </w:tc>
        <w:tc>
          <w:tcPr>
            <w:tcW w:type="dxa" w:w="4301"/>
            <w:shd w:fill="F2F7F6" w:val="clear"/>
            <w:tcMar>
              <w:top w:type="dxa" w:w="80"/>
              <w:left w:type="dxa" w:w="100"/>
              <w:bottom w:type="dxa" w:w="80"/>
              <w:right w:type="dxa" w:w="100"/>
            </w:tcMar>
          </w:tcPr>
          <w:p>
            <w:r>
              <w:rPr>
                <w:color w:val="1A1A1A"/>
                <w:sz w:val="19"/>
                <w:szCs w:val="19"/>
              </w:rPr>
              <w:t xml:space="preserve">Willingness to pay is real, not just willingness to try for free</w:t>
            </w:r>
          </w:p>
        </w:tc>
      </w:tr>
    </w:tbl>
    <w:p>
      <w:pPr>
        <w:pStyle w:val="Heading1"/>
        <w:pBdr>
          <w:bottom w:val="single" w:color="0E7C6B" w:sz="12" w:space="6"/>
        </w:pBdr>
        <w:spacing w:after="200" w:before="480"/>
      </w:pPr>
      <w:r>
        <w:rPr>
          <w:b/>
          <w:bCs/>
          <w:color w:val="0E7C6B"/>
          <w:sz w:val="30"/>
          <w:szCs w:val="30"/>
        </w:rPr>
        <w:t xml:space="preserve">6. TEAM &amp; EXECUTION CAPACITY</w:t>
      </w:r>
    </w:p>
    <w:p>
      <w:pPr>
        <w:spacing w:after="160"/>
      </w:pPr>
      <w:r>
        <w:rPr>
          <w:color w:val="1A1A1A"/>
          <w:sz w:val="21"/>
          <w:szCs w:val="21"/>
        </w:rPr>
        <w:t xml:space="preserve">BizYangu is built by a small, hands-on execution group rather than a large organization — deliberately so at this stage. The team combines direct product/engineering ownership with commercial and legal capability, and operates informally, on trust and shared conviction rather than formal governance structures.</w:t>
      </w:r>
    </w:p>
    <w:p>
      <w:pPr>
        <w:spacing w:after="160"/>
      </w:pPr>
      <w:r>
        <w:rPr>
          <w:color w:val="1A1A1A"/>
          <w:sz w:val="21"/>
          <w:szCs w:val="21"/>
        </w:rPr>
        <w:t xml:space="preserve">This section is intentionally kept high-level. Rather than name individuals or lock in a specific org chart this early, we treat team composition as something that will evolve with the company — a placeholder to be filled in with fuller detail (roles, hires, advisors, cap table) once the pilot results give us a clearer picture of what the next stage of the business actually needs.</w:t>
      </w:r>
    </w:p>
    <w:p>
      <w:pPr>
        <w:pStyle w:val="Heading2"/>
        <w:spacing w:after="120" w:before="300"/>
      </w:pPr>
      <w:r>
        <w:rPr>
          <w:b/>
          <w:bCs/>
          <w:color w:val="1A1A1A"/>
          <w:sz w:val="24"/>
          <w:szCs w:val="24"/>
        </w:rPr>
        <w:t xml:space="preserve">What This Stage Requires</w:t>
      </w:r>
    </w:p>
    <w:p>
      <w:pPr>
        <w:pStyle w:val="ListParagraph"/>
        <w:numPr>
          <w:ilvl w:val="0"/>
          <w:numId w:val="1"/>
        </w:numPr>
        <w:spacing w:after="80"/>
      </w:pPr>
      <w:r>
        <w:rPr>
          <w:color w:val="1A1A1A"/>
          <w:sz w:val="21"/>
          <w:szCs w:val="21"/>
        </w:rPr>
        <w:t xml:space="preserve">Product and engineering ownership close enough to the codebase to ship fast and correctly — currently covered directly.</w:t>
      </w:r>
    </w:p>
    <w:p>
      <w:pPr>
        <w:pStyle w:val="ListParagraph"/>
        <w:numPr>
          <w:ilvl w:val="0"/>
          <w:numId w:val="1"/>
        </w:numPr>
        <w:spacing w:after="80"/>
      </w:pPr>
      <w:r>
        <w:rPr>
          <w:color w:val="1A1A1A"/>
          <w:sz w:val="21"/>
          <w:szCs w:val="21"/>
        </w:rPr>
        <w:t xml:space="preserve">Commercial judgment — pricing, market sequencing, partnerships — to translate discovery findings into a workable go-to-market.</w:t>
      </w:r>
    </w:p>
    <w:p>
      <w:pPr>
        <w:pStyle w:val="ListParagraph"/>
        <w:numPr>
          <w:ilvl w:val="0"/>
          <w:numId w:val="1"/>
        </w:numPr>
        <w:spacing w:after="80"/>
      </w:pPr>
      <w:r>
        <w:rPr>
          <w:color w:val="1A1A1A"/>
          <w:sz w:val="21"/>
          <w:szCs w:val="21"/>
        </w:rPr>
        <w:t xml:space="preserve">Legal and compliance oversight — data protection, payments regulation, and (per Section 3) deliberately staying out of the e-commerce/money-transmitter question until it is properly scoped.</w:t>
      </w:r>
    </w:p>
    <w:p>
      <w:pPr>
        <w:spacing w:after="160"/>
      </w:pPr>
      <w:r>
        <w:rPr>
          <w:i/>
          <w:iCs/>
          <w:color w:val="595959"/>
          <w:sz w:val="21"/>
          <w:szCs w:val="21"/>
        </w:rPr>
        <w:t xml:space="preserve">A fuller organizational section — roles, responsibilities, hiring plan, and any advisory or investor structure — will be added once the pilot is complete and the shape of the next phase of the business is clearer.</w:t>
      </w:r>
    </w:p>
    <w:p>
      <w:pPr>
        <w:pStyle w:val="Heading1"/>
        <w:pBdr>
          <w:bottom w:val="single" w:color="0E7C6B" w:sz="12" w:space="6"/>
        </w:pBdr>
        <w:spacing w:after="200" w:before="480"/>
      </w:pPr>
      <w:r>
        <w:rPr>
          <w:b/>
          <w:bCs/>
          <w:color w:val="0E7C6B"/>
          <w:sz w:val="30"/>
          <w:szCs w:val="30"/>
        </w:rPr>
        <w:t xml:space="preserve">7. PRODUCT &amp; BUILD STATUS</w:t>
      </w:r>
    </w:p>
    <w:p>
      <w:pPr>
        <w:spacing w:after="160"/>
      </w:pPr>
      <w:r>
        <w:rPr>
          <w:color w:val="1A1A1A"/>
          <w:sz w:val="21"/>
          <w:szCs w:val="21"/>
        </w:rPr>
        <w:t xml:space="preserve">This section replaces the aspirational roadmap of v1.0 with what has actually shipped, cross-checked directly against the codebase and the living build plan (`BizYangu_Build_Plan_v3.md`), and is the authoritative reference for build status elsewhere in this document.</w:t>
      </w:r>
    </w:p>
    <w:p>
      <w:pPr>
        <w:pStyle w:val="Heading2"/>
        <w:spacing w:after="120" w:before="300"/>
      </w:pPr>
      <w:r>
        <w:rPr>
          <w:b/>
          <w:bCs/>
          <w:color w:val="1A1A1A"/>
          <w:sz w:val="24"/>
          <w:szCs w:val="24"/>
        </w:rPr>
        <w:t xml:space="preserve">Build History — What’s Actually Shipped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5797"/>
        <w:gridCol w:w="2618"/>
      </w:tblGrid>
      <w:tr>
        <w:trPr>
          <w:tblHeader/>
        </w:trPr>
        <w:tc>
          <w:tcPr>
            <w:tcW w:type="dxa" w:w="935"/>
            <w:shd w:fill="0E7C6B" w:val="clear"/>
            <w:tcMar>
              <w:top w:type="dxa" w:w="80"/>
              <w:left w:type="dxa" w:w="100"/>
              <w:bottom w:type="dxa" w:w="80"/>
              <w:right w:type="dxa" w:w="100"/>
            </w:tcMar>
          </w:tcPr>
          <w:p>
            <w:r>
              <w:rPr>
                <w:b/>
                <w:bCs/>
                <w:color w:val="FFFFFF"/>
                <w:sz w:val="19"/>
                <w:szCs w:val="19"/>
              </w:rPr>
              <w:t xml:space="preserve">Phase</w:t>
            </w:r>
          </w:p>
        </w:tc>
        <w:tc>
          <w:tcPr>
            <w:tcW w:type="dxa" w:w="5797"/>
            <w:shd w:fill="0E7C6B" w:val="clear"/>
            <w:tcMar>
              <w:top w:type="dxa" w:w="80"/>
              <w:left w:type="dxa" w:w="100"/>
              <w:bottom w:type="dxa" w:w="80"/>
              <w:right w:type="dxa" w:w="100"/>
            </w:tcMar>
          </w:tcPr>
          <w:p>
            <w:r>
              <w:rPr>
                <w:b/>
                <w:bCs/>
                <w:color w:val="FFFFFF"/>
                <w:sz w:val="19"/>
                <w:szCs w:val="19"/>
              </w:rPr>
              <w:t xml:space="preserve">What</w:t>
            </w:r>
          </w:p>
        </w:tc>
        <w:tc>
          <w:tcPr>
            <w:tcW w:type="dxa" w:w="2618"/>
            <w:shd w:fill="0E7C6B" w:val="clear"/>
            <w:tcMar>
              <w:top w:type="dxa" w:w="80"/>
              <w:left w:type="dxa" w:w="100"/>
              <w:bottom w:type="dxa" w:w="80"/>
              <w:right w:type="dxa" w:w="100"/>
            </w:tcMar>
          </w:tcPr>
          <w:p>
            <w:r>
              <w:rPr>
                <w:b/>
                <w:bCs/>
                <w:color w:val="FFFFFF"/>
                <w:sz w:val="19"/>
                <w:szCs w:val="19"/>
              </w:rPr>
              <w:t xml:space="preserve">Status</w:t>
            </w:r>
          </w:p>
        </w:tc>
      </w:tr>
      <w:tr>
        <w:tc>
          <w:tcPr>
            <w:tcW w:type="dxa" w:w="935"/>
            <w:tcMar>
              <w:top w:type="dxa" w:w="80"/>
              <w:left w:type="dxa" w:w="100"/>
              <w:bottom w:type="dxa" w:w="80"/>
              <w:right w:type="dxa" w:w="100"/>
            </w:tcMar>
          </w:tcPr>
          <w:p>
            <w:r>
              <w:rPr>
                <w:color w:val="1A1A1A"/>
                <w:sz w:val="19"/>
                <w:szCs w:val="19"/>
              </w:rPr>
              <w:t xml:space="preserve">0 – 5.6</w:t>
            </w:r>
          </w:p>
        </w:tc>
        <w:tc>
          <w:tcPr>
            <w:tcW w:type="dxa" w:w="5797"/>
            <w:tcMar>
              <w:top w:type="dxa" w:w="80"/>
              <w:left w:type="dxa" w:w="100"/>
              <w:bottom w:type="dxa" w:w="80"/>
              <w:right w:type="dxa" w:w="100"/>
            </w:tcMar>
          </w:tcPr>
          <w:p>
            <w:r>
              <w:rPr>
                <w:color w:val="1A1A1A"/>
                <w:sz w:val="19"/>
                <w:szCs w:val="19"/>
              </w:rPr>
              <w:t xml:space="preserve">Auth (phone OTP + JWT with rotation/blacklist), business setup, the sell flow, stock/inventory, M-Pesa STK push, owner dashboard and reports (including a live WebSocket feed), full staff management (invite/list/remove via a join-acceptance flow), and security hardening</w:t>
            </w:r>
          </w:p>
        </w:tc>
        <w:tc>
          <w:tcPr>
            <w:tcW w:type="dxa" w:w="2618"/>
            <w:tcMar>
              <w:top w:type="dxa" w:w="80"/>
              <w:left w:type="dxa" w:w="100"/>
              <w:bottom w:type="dxa" w:w="80"/>
              <w:right w:type="dxa" w:w="100"/>
            </w:tcMar>
          </w:tcPr>
          <w:p>
            <w:r>
              <w:rPr>
                <w:color w:val="1A1A1A"/>
                <w:sz w:val="19"/>
                <w:szCs w:val="19"/>
              </w:rPr>
              <w:t xml:space="preserve">Complete — in daily use</w:t>
            </w:r>
          </w:p>
        </w:tc>
      </w:tr>
      <w:tr>
        <w:tc>
          <w:tcPr>
            <w:tcW w:type="dxa" w:w="935"/>
            <w:shd w:fill="F2F7F6" w:val="clear"/>
            <w:tcMar>
              <w:top w:type="dxa" w:w="80"/>
              <w:left w:type="dxa" w:w="100"/>
              <w:bottom w:type="dxa" w:w="80"/>
              <w:right w:type="dxa" w:w="100"/>
            </w:tcMar>
          </w:tcPr>
          <w:p>
            <w:r>
              <w:rPr>
                <w:color w:val="1A1A1A"/>
                <w:sz w:val="19"/>
                <w:szCs w:val="19"/>
              </w:rPr>
              <w:t xml:space="preserve">6</w:t>
            </w:r>
          </w:p>
        </w:tc>
        <w:tc>
          <w:tcPr>
            <w:tcW w:type="dxa" w:w="5797"/>
            <w:shd w:fill="F2F7F6" w:val="clear"/>
            <w:tcMar>
              <w:top w:type="dxa" w:w="80"/>
              <w:left w:type="dxa" w:w="100"/>
              <w:bottom w:type="dxa" w:w="80"/>
              <w:right w:type="dxa" w:w="100"/>
            </w:tcMar>
          </w:tcPr>
          <w:p>
            <w:r>
              <w:rPr>
                <w:color w:val="1A1A1A"/>
                <w:sz w:val="19"/>
                <w:szCs w:val="19"/>
              </w:rPr>
              <w:t xml:space="preserve">Infrastructure audit: sessions, JWT, Redis, N+1 query fixes. Found and fixed Redis being used inconsistently as cache/broker/channel layer</w:t>
            </w:r>
          </w:p>
        </w:tc>
        <w:tc>
          <w:tcPr>
            <w:tcW w:type="dxa" w:w="2618"/>
            <w:shd w:fill="F2F7F6" w:val="clear"/>
            <w:tcMar>
              <w:top w:type="dxa" w:w="80"/>
              <w:left w:type="dxa" w:w="100"/>
              <w:bottom w:type="dxa" w:w="80"/>
              <w:right w:type="dxa" w:w="100"/>
            </w:tcMar>
          </w:tcPr>
          <w:p>
            <w:r>
              <w:rPr>
                <w:color w:val="1A1A1A"/>
                <w:sz w:val="19"/>
                <w:szCs w:val="19"/>
              </w:rPr>
              <w:t xml:space="preserve">Complete</w:t>
            </w:r>
          </w:p>
        </w:tc>
      </w:tr>
      <w:tr>
        <w:tc>
          <w:tcPr>
            <w:tcW w:type="dxa" w:w="935"/>
            <w:tcMar>
              <w:top w:type="dxa" w:w="80"/>
              <w:left w:type="dxa" w:w="100"/>
              <w:bottom w:type="dxa" w:w="80"/>
              <w:right w:type="dxa" w:w="100"/>
            </w:tcMar>
          </w:tcPr>
          <w:p>
            <w:r>
              <w:rPr>
                <w:color w:val="1A1A1A"/>
                <w:sz w:val="19"/>
                <w:szCs w:val="19"/>
              </w:rPr>
              <w:t xml:space="preserve">7</w:t>
            </w:r>
          </w:p>
        </w:tc>
        <w:tc>
          <w:tcPr>
            <w:tcW w:type="dxa" w:w="5797"/>
            <w:tcMar>
              <w:top w:type="dxa" w:w="80"/>
              <w:left w:type="dxa" w:w="100"/>
              <w:bottom w:type="dxa" w:w="80"/>
              <w:right w:type="dxa" w:w="100"/>
            </w:tcMar>
          </w:tcPr>
          <w:p>
            <w:r>
              <w:rPr>
                <w:color w:val="1A1A1A"/>
                <w:sz w:val="19"/>
                <w:szCs w:val="19"/>
              </w:rPr>
              <w:t xml:space="preserve">Reports: growth &amp; profit trend graphs, beyond today’s money summary and top-product views</w:t>
            </w:r>
          </w:p>
        </w:tc>
        <w:tc>
          <w:tcPr>
            <w:tcW w:type="dxa" w:w="2618"/>
            <w:tcMar>
              <w:top w:type="dxa" w:w="80"/>
              <w:left w:type="dxa" w:w="100"/>
              <w:bottom w:type="dxa" w:w="80"/>
              <w:right w:type="dxa" w:w="100"/>
            </w:tcMar>
          </w:tcPr>
          <w:p>
            <w:r>
              <w:rPr>
                <w:color w:val="1A1A1A"/>
                <w:sz w:val="19"/>
                <w:szCs w:val="19"/>
              </w:rPr>
              <w:t xml:space="preserve">Not yet built — near-term, cheap, mostly frontend</w:t>
            </w:r>
          </w:p>
        </w:tc>
      </w:tr>
      <w:tr>
        <w:tc>
          <w:tcPr>
            <w:tcW w:type="dxa" w:w="935"/>
            <w:shd w:fill="F2F7F6" w:val="clear"/>
            <w:tcMar>
              <w:top w:type="dxa" w:w="80"/>
              <w:left w:type="dxa" w:w="100"/>
              <w:bottom w:type="dxa" w:w="80"/>
              <w:right w:type="dxa" w:w="100"/>
            </w:tcMar>
          </w:tcPr>
          <w:p>
            <w:r>
              <w:rPr>
                <w:color w:val="1A1A1A"/>
                <w:sz w:val="19"/>
                <w:szCs w:val="19"/>
              </w:rPr>
              <w:t xml:space="preserve">8</w:t>
            </w:r>
          </w:p>
        </w:tc>
        <w:tc>
          <w:tcPr>
            <w:tcW w:type="dxa" w:w="5797"/>
            <w:shd w:fill="F2F7F6" w:val="clear"/>
            <w:tcMar>
              <w:top w:type="dxa" w:w="80"/>
              <w:left w:type="dxa" w:w="100"/>
              <w:bottom w:type="dxa" w:w="80"/>
              <w:right w:type="dxa" w:w="100"/>
            </w:tcMar>
          </w:tcPr>
          <w:p>
            <w:r>
              <w:rPr>
                <w:color w:val="1A1A1A"/>
                <w:sz w:val="19"/>
                <w:szCs w:val="19"/>
              </w:rPr>
              <w:t xml:space="preserve">Knowledge Base Curation — the product taxonomy (business type → category → subcategory → common item names/brands → units) that other features are built against</w:t>
            </w:r>
          </w:p>
        </w:tc>
        <w:tc>
          <w:tcPr>
            <w:tcW w:type="dxa" w:w="2618"/>
            <w:shd w:fill="F2F7F6" w:val="clear"/>
            <w:tcMar>
              <w:top w:type="dxa" w:w="80"/>
              <w:left w:type="dxa" w:w="100"/>
              <w:bottom w:type="dxa" w:w="80"/>
              <w:right w:type="dxa" w:w="100"/>
            </w:tcMar>
          </w:tcPr>
          <w:p>
            <w:r>
              <w:rPr>
                <w:color w:val="1A1A1A"/>
                <w:sz w:val="19"/>
                <w:szCs w:val="19"/>
              </w:rPr>
              <w:t xml:space="preserve">First draft complete for 9 business types, all placeholder brand names reviewed and finalized</w:t>
            </w:r>
          </w:p>
        </w:tc>
      </w:tr>
      <w:tr>
        <w:tc>
          <w:tcPr>
            <w:tcW w:type="dxa" w:w="935"/>
            <w:tcMar>
              <w:top w:type="dxa" w:w="80"/>
              <w:left w:type="dxa" w:w="100"/>
              <w:bottom w:type="dxa" w:w="80"/>
              <w:right w:type="dxa" w:w="100"/>
            </w:tcMar>
          </w:tcPr>
          <w:p>
            <w:r>
              <w:rPr>
                <w:color w:val="1A1A1A"/>
                <w:sz w:val="19"/>
                <w:szCs w:val="19"/>
              </w:rPr>
              <w:t xml:space="preserve">9</w:t>
            </w:r>
          </w:p>
        </w:tc>
        <w:tc>
          <w:tcPr>
            <w:tcW w:type="dxa" w:w="5797"/>
            <w:tcMar>
              <w:top w:type="dxa" w:w="80"/>
              <w:left w:type="dxa" w:w="100"/>
              <w:bottom w:type="dxa" w:w="80"/>
              <w:right w:type="dxa" w:w="100"/>
            </w:tcMar>
          </w:tcPr>
          <w:p>
            <w:r>
              <w:rPr>
                <w:color w:val="1A1A1A"/>
                <w:sz w:val="19"/>
                <w:szCs w:val="19"/>
              </w:rPr>
              <w:t xml:space="preserve">Sell-without-inventory + progressive catalog growth: a cashier can sell an item not yet catalogued without blocking the sale, then reconcile it later against the Phase 8 taxonomy</w:t>
            </w:r>
          </w:p>
        </w:tc>
        <w:tc>
          <w:tcPr>
            <w:tcW w:type="dxa" w:w="2618"/>
            <w:tcMar>
              <w:top w:type="dxa" w:w="80"/>
              <w:left w:type="dxa" w:w="100"/>
              <w:bottom w:type="dxa" w:w="80"/>
              <w:right w:type="dxa" w:w="100"/>
            </w:tcMar>
          </w:tcPr>
          <w:p>
            <w:r>
              <w:rPr>
                <w:color w:val="1A1A1A"/>
                <w:sz w:val="19"/>
                <w:szCs w:val="19"/>
              </w:rPr>
              <w:t xml:space="preserve">Designed, not yet built — the next major feature phase</w:t>
            </w:r>
          </w:p>
        </w:tc>
      </w:tr>
      <w:tr>
        <w:tc>
          <w:tcPr>
            <w:tcW w:type="dxa" w:w="935"/>
            <w:shd w:fill="F2F7F6" w:val="clear"/>
            <w:tcMar>
              <w:top w:type="dxa" w:w="80"/>
              <w:left w:type="dxa" w:w="100"/>
              <w:bottom w:type="dxa" w:w="80"/>
              <w:right w:type="dxa" w:w="100"/>
            </w:tcMar>
          </w:tcPr>
          <w:p>
            <w:r>
              <w:rPr>
                <w:color w:val="1A1A1A"/>
                <w:sz w:val="19"/>
                <w:szCs w:val="19"/>
              </w:rPr>
              <w:t xml:space="preserve">10</w:t>
            </w:r>
          </w:p>
        </w:tc>
        <w:tc>
          <w:tcPr>
            <w:tcW w:type="dxa" w:w="5797"/>
            <w:shd w:fill="F2F7F6" w:val="clear"/>
            <w:tcMar>
              <w:top w:type="dxa" w:w="80"/>
              <w:left w:type="dxa" w:w="100"/>
              <w:bottom w:type="dxa" w:w="80"/>
              <w:right w:type="dxa" w:w="100"/>
            </w:tcMar>
          </w:tcPr>
          <w:p>
            <w:r>
              <w:rPr>
                <w:color w:val="1A1A1A"/>
                <w:sz w:val="19"/>
                <w:szCs w:val="19"/>
              </w:rPr>
              <w:t xml:space="preserve">Demo-driven taxonomy refinement — real usage data feeding back into the Phase 8 taxonomy over time</w:t>
            </w:r>
          </w:p>
        </w:tc>
        <w:tc>
          <w:tcPr>
            <w:tcW w:type="dxa" w:w="2618"/>
            <w:shd w:fill="F2F7F6" w:val="clear"/>
            <w:tcMar>
              <w:top w:type="dxa" w:w="80"/>
              <w:left w:type="dxa" w:w="100"/>
              <w:bottom w:type="dxa" w:w="80"/>
              <w:right w:type="dxa" w:w="100"/>
            </w:tcMar>
          </w:tcPr>
          <w:p>
            <w:r>
              <w:rPr>
                <w:color w:val="1A1A1A"/>
                <w:sz w:val="19"/>
                <w:szCs w:val="19"/>
              </w:rPr>
              <w:t xml:space="preserve">Planned; depends on Phase 9 shipping first</w:t>
            </w:r>
          </w:p>
        </w:tc>
      </w:tr>
      <w:tr>
        <w:tc>
          <w:tcPr>
            <w:tcW w:type="dxa" w:w="935"/>
            <w:tcMar>
              <w:top w:type="dxa" w:w="80"/>
              <w:left w:type="dxa" w:w="100"/>
              <w:bottom w:type="dxa" w:w="80"/>
              <w:right w:type="dxa" w:w="100"/>
            </w:tcMar>
          </w:tcPr>
          <w:p>
            <w:r>
              <w:rPr>
                <w:color w:val="1A1A1A"/>
                <w:sz w:val="19"/>
                <w:szCs w:val="19"/>
              </w:rPr>
              <w:t xml:space="preserve">11</w:t>
            </w:r>
          </w:p>
        </w:tc>
        <w:tc>
          <w:tcPr>
            <w:tcW w:type="dxa" w:w="5797"/>
            <w:tcMar>
              <w:top w:type="dxa" w:w="80"/>
              <w:left w:type="dxa" w:w="100"/>
              <w:bottom w:type="dxa" w:w="80"/>
              <w:right w:type="dxa" w:w="100"/>
            </w:tcMar>
          </w:tcPr>
          <w:p>
            <w:r>
              <w:rPr>
                <w:color w:val="1A1A1A"/>
                <w:sz w:val="19"/>
                <w:szCs w:val="19"/>
              </w:rPr>
              <w:t xml:space="preserve">Perishability tracking (expiry dates; organic spoilage-risk estimation as a stretch goal)</w:t>
            </w:r>
          </w:p>
        </w:tc>
        <w:tc>
          <w:tcPr>
            <w:tcW w:type="dxa" w:w="2618"/>
            <w:tcMar>
              <w:top w:type="dxa" w:w="80"/>
              <w:left w:type="dxa" w:w="100"/>
              <w:bottom w:type="dxa" w:w="80"/>
              <w:right w:type="dxa" w:w="100"/>
            </w:tcMar>
          </w:tcPr>
          <w:p>
            <w:r>
              <w:rPr>
                <w:color w:val="1A1A1A"/>
                <w:sz w:val="19"/>
                <w:szCs w:val="19"/>
              </w:rPr>
              <w:t xml:space="preserve">Planned</w:t>
            </w:r>
          </w:p>
        </w:tc>
      </w:tr>
      <w:tr>
        <w:tc>
          <w:tcPr>
            <w:tcW w:type="dxa" w:w="935"/>
            <w:shd w:fill="F2F7F6" w:val="clear"/>
            <w:tcMar>
              <w:top w:type="dxa" w:w="80"/>
              <w:left w:type="dxa" w:w="100"/>
              <w:bottom w:type="dxa" w:w="80"/>
              <w:right w:type="dxa" w:w="100"/>
            </w:tcMar>
          </w:tcPr>
          <w:p>
            <w:r>
              <w:rPr>
                <w:color w:val="1A1A1A"/>
                <w:sz w:val="19"/>
                <w:szCs w:val="19"/>
              </w:rPr>
              <w:t xml:space="preserve">12</w:t>
            </w:r>
          </w:p>
        </w:tc>
        <w:tc>
          <w:tcPr>
            <w:tcW w:type="dxa" w:w="5797"/>
            <w:shd w:fill="F2F7F6" w:val="clear"/>
            <w:tcMar>
              <w:top w:type="dxa" w:w="80"/>
              <w:left w:type="dxa" w:w="100"/>
              <w:bottom w:type="dxa" w:w="80"/>
              <w:right w:type="dxa" w:w="100"/>
            </w:tcMar>
          </w:tcPr>
          <w:p>
            <w:r>
              <w:rPr>
                <w:color w:val="1A1A1A"/>
                <w:sz w:val="19"/>
                <w:szCs w:val="19"/>
              </w:rPr>
              <w:t xml:space="preserve">Creditor UI / customer ledger</w:t>
            </w:r>
          </w:p>
        </w:tc>
        <w:tc>
          <w:tcPr>
            <w:tcW w:type="dxa" w:w="2618"/>
            <w:shd w:fill="F2F7F6" w:val="clear"/>
            <w:tcMar>
              <w:top w:type="dxa" w:w="80"/>
              <w:left w:type="dxa" w:w="100"/>
              <w:bottom w:type="dxa" w:w="80"/>
              <w:right w:type="dxa" w:w="100"/>
            </w:tcMar>
          </w:tcPr>
          <w:p>
            <w:r>
              <w:rPr>
                <w:color w:val="1A1A1A"/>
                <w:sz w:val="19"/>
                <w:szCs w:val="19"/>
              </w:rPr>
              <w:t xml:space="preserve">Planned</w:t>
            </w:r>
          </w:p>
        </w:tc>
      </w:tr>
      <w:tr>
        <w:tc>
          <w:tcPr>
            <w:tcW w:type="dxa" w:w="935"/>
            <w:tcMar>
              <w:top w:type="dxa" w:w="80"/>
              <w:left w:type="dxa" w:w="100"/>
              <w:bottom w:type="dxa" w:w="80"/>
              <w:right w:type="dxa" w:w="100"/>
            </w:tcMar>
          </w:tcPr>
          <w:p>
            <w:r>
              <w:rPr>
                <w:color w:val="1A1A1A"/>
                <w:sz w:val="19"/>
                <w:szCs w:val="19"/>
              </w:rPr>
              <w:t xml:space="preserve">13</w:t>
            </w:r>
          </w:p>
        </w:tc>
        <w:tc>
          <w:tcPr>
            <w:tcW w:type="dxa" w:w="5797"/>
            <w:tcMar>
              <w:top w:type="dxa" w:w="80"/>
              <w:left w:type="dxa" w:w="100"/>
              <w:bottom w:type="dxa" w:w="80"/>
              <w:right w:type="dxa" w:w="100"/>
            </w:tcMar>
          </w:tcPr>
          <w:p>
            <w:r>
              <w:rPr>
                <w:color w:val="1A1A1A"/>
                <w:sz w:val="19"/>
                <w:szCs w:val="19"/>
              </w:rPr>
              <w:t xml:space="preserve">Cross-business sub-niche detection (e.g. identifying that a cohort of hardware shops are really plumbing specialists)</w:t>
            </w:r>
          </w:p>
        </w:tc>
        <w:tc>
          <w:tcPr>
            <w:tcW w:type="dxa" w:w="2618"/>
            <w:tcMar>
              <w:top w:type="dxa" w:w="80"/>
              <w:left w:type="dxa" w:w="100"/>
              <w:bottom w:type="dxa" w:w="80"/>
              <w:right w:type="dxa" w:w="100"/>
            </w:tcMar>
          </w:tcPr>
          <w:p>
            <w:r>
              <w:rPr>
                <w:color w:val="1A1A1A"/>
                <w:sz w:val="19"/>
                <w:szCs w:val="19"/>
              </w:rPr>
              <w:t xml:space="preserve">Planned — gated on real usage volume, not a scheduled build date</w:t>
            </w:r>
          </w:p>
        </w:tc>
      </w:tr>
      <w:tr>
        <w:tc>
          <w:tcPr>
            <w:tcW w:type="dxa" w:w="935"/>
            <w:shd w:fill="F2F7F6" w:val="clear"/>
            <w:tcMar>
              <w:top w:type="dxa" w:w="80"/>
              <w:left w:type="dxa" w:w="100"/>
              <w:bottom w:type="dxa" w:w="80"/>
              <w:right w:type="dxa" w:w="100"/>
            </w:tcMar>
          </w:tcPr>
          <w:p>
            <w:r>
              <w:rPr>
                <w:color w:val="1A1A1A"/>
                <w:sz w:val="19"/>
                <w:szCs w:val="19"/>
              </w:rPr>
              <w:t xml:space="preserve">14</w:t>
            </w:r>
          </w:p>
        </w:tc>
        <w:tc>
          <w:tcPr>
            <w:tcW w:type="dxa" w:w="5797"/>
            <w:shd w:fill="F2F7F6" w:val="clear"/>
            <w:tcMar>
              <w:top w:type="dxa" w:w="80"/>
              <w:left w:type="dxa" w:w="100"/>
              <w:bottom w:type="dxa" w:w="80"/>
              <w:right w:type="dxa" w:w="100"/>
            </w:tcMar>
          </w:tcPr>
          <w:p>
            <w:r>
              <w:rPr>
                <w:color w:val="1A1A1A"/>
                <w:sz w:val="19"/>
                <w:szCs w:val="19"/>
              </w:rPr>
              <w:t xml:space="preserve">Additional settings</w:t>
            </w:r>
          </w:p>
        </w:tc>
        <w:tc>
          <w:tcPr>
            <w:tcW w:type="dxa" w:w="2618"/>
            <w:shd w:fill="F2F7F6" w:val="clear"/>
            <w:tcMar>
              <w:top w:type="dxa" w:w="80"/>
              <w:left w:type="dxa" w:w="100"/>
              <w:bottom w:type="dxa" w:w="80"/>
              <w:right w:type="dxa" w:w="100"/>
            </w:tcMar>
          </w:tcPr>
          <w:p>
            <w:r>
              <w:rPr>
                <w:color w:val="1A1A1A"/>
                <w:sz w:val="19"/>
                <w:szCs w:val="19"/>
              </w:rPr>
              <w:t xml:space="preserve">Placeholder, pending a concrete requirements list</w:t>
            </w:r>
          </w:p>
        </w:tc>
      </w:tr>
    </w:tbl>
    <w:p>
      <w:pPr>
        <w:spacing w:after="160"/>
      </w:pPr>
    </w:p>
    <w:p>
      <w:pPr>
        <w:pBdr>
          <w:top w:val="single" w:color="0E7C6B" w:sz="6" w:space="4"/>
          <w:bottom w:val="single" w:color="0E7C6B" w:sz="6" w:space="4"/>
          <w:left w:val="single" w:color="0E7C6B" w:sz="6" w:space="4"/>
          <w:right w:val="single" w:color="0E7C6B" w:sz="6" w:space="4"/>
        </w:pBdr>
        <w:shd w:fill="F2F7F6" w:val="clear"/>
        <w:spacing w:after="200" w:before="80"/>
      </w:pPr>
      <w:r>
        <w:rPr>
          <w:i/>
          <w:iCs/>
          <w:color w:val="1A1A1A"/>
          <w:sz w:val="20"/>
          <w:szCs w:val="20"/>
        </w:rPr>
        <w:t xml:space="preserve">A note on accuracy: an earlier internal draft of this plan stated the build was complete "through Phase 9 of 9." That was wrong, and this version corrects it after checking directly against the running code. The core transaction engine (Phases 0–6) is genuinely built and in daily use, and the product taxonomy (Phase 8) has a completed first draft — but sell-without-inventory (Phase 9) and growth/profit graphs (Phase 7) are designed and next in line, not yet shipped. We would rather this plan slightly under-claim progress than repeat the mistake v1.0 made in the other direction.</w:t>
      </w:r>
    </w:p>
    <w:p>
      <w:pPr>
        <w:pStyle w:val="Heading2"/>
        <w:spacing w:after="120" w:before="300"/>
      </w:pPr>
      <w:r>
        <w:rPr>
          <w:b/>
          <w:bCs/>
          <w:color w:val="1A1A1A"/>
          <w:sz w:val="24"/>
          <w:szCs w:val="24"/>
        </w:rPr>
        <w:t xml:space="preserve">Recent Hardening (this build cycle)</w:t>
      </w:r>
    </w:p>
    <w:p>
      <w:pPr>
        <w:spacing w:after="160"/>
      </w:pPr>
      <w:r>
        <w:rPr>
          <w:color w:val="1A1A1A"/>
          <w:sz w:val="21"/>
          <w:szCs w:val="21"/>
        </w:rPr>
        <w:t xml:space="preserve">Three real production bugs were found and fixed in the most recent patch cycle, each worth noting because they speak to the maturity of the transaction engine under real conditions rather than just in a demo: an M-Pesa sale was being marked as confirmed the instant a cashier hit "Sell," before the customer had actually paid, which silently broke STK push retries; the refund flow failed validation on real transaction IDs and has been rebuilt around a single KES-amount field rather than itemized quantities, which better matches how an owner actually thinks about a refund; and five of the seven unit types offered on the Add Product screen were silently rejected by the backend, fixed with a data migration so no existing product records were lost.</w:t>
      </w:r>
    </w:p>
    <w:p>
      <w:pPr>
        <w:pStyle w:val="Heading2"/>
        <w:spacing w:after="120" w:before="300"/>
      </w:pPr>
      <w:r>
        <w:rPr>
          <w:b/>
          <w:bCs/>
          <w:color w:val="1A1A1A"/>
          <w:sz w:val="24"/>
          <w:szCs w:val="24"/>
        </w:rPr>
        <w:t xml:space="preserve">E-commerce / B2B Marketplace — Deliberately Separate</w:t>
      </w:r>
    </w:p>
    <w:p>
      <w:pPr>
        <w:spacing w:after="160"/>
      </w:pPr>
      <w:r>
        <w:rPr>
          <w:color w:val="1A1A1A"/>
          <w:sz w:val="21"/>
          <w:szCs w:val="21"/>
        </w:rPr>
        <w:t xml:space="preserve">An e-commerce and B2B marketplace initiative, connecting duka owners directly to customers and to each other, remains a distinct future product rather than a numbered build phase. It requires its own trust, dispute-resolution, and fund-flow design, and the question of whether any part of it triggers Kenya’s National Payment System Act money-transmitter provisions is an open regulatory question we are deliberately resolving before any schema work begins, not after.</w:t>
      </w:r>
    </w:p>
    <w:p>
      <w:pPr>
        <w:pStyle w:val="Heading1"/>
        <w:pBdr>
          <w:bottom w:val="single" w:color="0E7C6B" w:sz="12" w:space="6"/>
        </w:pBdr>
        <w:spacing w:after="200" w:before="480"/>
      </w:pPr>
      <w:r>
        <w:rPr>
          <w:b/>
          <w:bCs/>
          <w:color w:val="0E7C6B"/>
          <w:sz w:val="30"/>
          <w:szCs w:val="30"/>
        </w:rPr>
        <w:t xml:space="preserve">8. COMPETITIVE LANDSCAPE</w:t>
      </w:r>
    </w:p>
    <w:p>
      <w:pPr>
        <w:spacing w:after="160"/>
      </w:pPr>
      <w:r>
        <w:rPr>
          <w:color w:val="1A1A1A"/>
          <w:sz w:val="21"/>
          <w:szCs w:val="21"/>
        </w:rPr>
        <w:t xml:space="preserve">The Kenyan market for SME-facing sales and inventory software is real and increasingly crowded, which we read as validation of the underlying problem rather than a reason for concern — the discovery interviews (Section 4) confirm most target businesses are still running on notebook and memory today, well behind what any of these tools offer.</w:t>
      </w:r>
    </w:p>
    <w:p>
      <w:pPr>
        <w:pStyle w:val="Heading2"/>
        <w:spacing w:after="120" w:before="300"/>
      </w:pPr>
      <w:r>
        <w:rPr>
          <w:b/>
          <w:bCs/>
          <w:color w:val="1A1A1A"/>
          <w:sz w:val="24"/>
          <w:szCs w:val="24"/>
        </w:rPr>
        <w:t xml:space="preserve">Who Else Is in This Space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3927"/>
        <w:gridCol w:w="3740"/>
      </w:tblGrid>
      <w:tr>
        <w:trPr>
          <w:tblHeader/>
        </w:trPr>
        <w:tc>
          <w:tcPr>
            <w:tcW w:type="dxa" w:w="1683"/>
            <w:shd w:fill="0E7C6B" w:val="clear"/>
            <w:tcMar>
              <w:top w:type="dxa" w:w="80"/>
              <w:left w:type="dxa" w:w="100"/>
              <w:bottom w:type="dxa" w:w="80"/>
              <w:right w:type="dxa" w:w="100"/>
            </w:tcMar>
          </w:tcPr>
          <w:p>
            <w:r>
              <w:rPr>
                <w:b/>
                <w:bCs/>
                <w:color w:val="FFFFFF"/>
                <w:sz w:val="19"/>
                <w:szCs w:val="19"/>
              </w:rPr>
              <w:t xml:space="preserve">Player</w:t>
            </w:r>
          </w:p>
        </w:tc>
        <w:tc>
          <w:tcPr>
            <w:tcW w:type="dxa" w:w="3927"/>
            <w:shd w:fill="0E7C6B" w:val="clear"/>
            <w:tcMar>
              <w:top w:type="dxa" w:w="80"/>
              <w:left w:type="dxa" w:w="100"/>
              <w:bottom w:type="dxa" w:w="80"/>
              <w:right w:type="dxa" w:w="100"/>
            </w:tcMar>
          </w:tcPr>
          <w:p>
            <w:r>
              <w:rPr>
                <w:b/>
                <w:bCs/>
                <w:color w:val="FFFFFF"/>
                <w:sz w:val="19"/>
                <w:szCs w:val="19"/>
              </w:rPr>
              <w:t xml:space="preserve">What they do</w:t>
            </w:r>
          </w:p>
        </w:tc>
        <w:tc>
          <w:tcPr>
            <w:tcW w:type="dxa" w:w="3740"/>
            <w:shd w:fill="0E7C6B" w:val="clear"/>
            <w:tcMar>
              <w:top w:type="dxa" w:w="80"/>
              <w:left w:type="dxa" w:w="100"/>
              <w:bottom w:type="dxa" w:w="80"/>
              <w:right w:type="dxa" w:w="100"/>
            </w:tcMar>
          </w:tcPr>
          <w:p>
            <w:r>
              <w:rPr>
                <w:b/>
                <w:bCs/>
                <w:color w:val="FFFFFF"/>
                <w:sz w:val="19"/>
                <w:szCs w:val="19"/>
              </w:rPr>
              <w:t xml:space="preserve">How BizYangu differs</w:t>
            </w:r>
          </w:p>
        </w:tc>
      </w:tr>
      <w:tr>
        <w:tc>
          <w:tcPr>
            <w:tcW w:type="dxa" w:w="1683"/>
            <w:tcMar>
              <w:top w:type="dxa" w:w="80"/>
              <w:left w:type="dxa" w:w="100"/>
              <w:bottom w:type="dxa" w:w="80"/>
              <w:right w:type="dxa" w:w="100"/>
            </w:tcMar>
          </w:tcPr>
          <w:p>
            <w:r>
              <w:rPr>
                <w:color w:val="1A1A1A"/>
                <w:sz w:val="19"/>
                <w:szCs w:val="19"/>
              </w:rPr>
              <w:t xml:space="preserve">Veira</w:t>
            </w:r>
          </w:p>
        </w:tc>
        <w:tc>
          <w:tcPr>
            <w:tcW w:type="dxa" w:w="3927"/>
            <w:tcMar>
              <w:top w:type="dxa" w:w="80"/>
              <w:left w:type="dxa" w:w="100"/>
              <w:bottom w:type="dxa" w:w="80"/>
              <w:right w:type="dxa" w:w="100"/>
            </w:tcMar>
          </w:tcPr>
          <w:p>
            <w:r>
              <w:rPr>
                <w:color w:val="1A1A1A"/>
                <w:sz w:val="19"/>
                <w:szCs w:val="19"/>
              </w:rPr>
              <w:t xml:space="preserve">A phone-based POS covering M-Pesa Pochi la Biashara, card payments, KRA eTIMS tax compliance, inventory, and working-capital loans, bundled with a free POS terminal</w:t>
            </w:r>
          </w:p>
        </w:tc>
        <w:tc>
          <w:tcPr>
            <w:tcW w:type="dxa" w:w="3740"/>
            <w:tcMar>
              <w:top w:type="dxa" w:w="80"/>
              <w:left w:type="dxa" w:w="100"/>
              <w:bottom w:type="dxa" w:w="80"/>
              <w:right w:type="dxa" w:w="100"/>
            </w:tcMar>
          </w:tcPr>
          <w:p>
            <w:r>
              <w:rPr>
                <w:color w:val="1A1A1A"/>
                <w:sz w:val="19"/>
                <w:szCs w:val="19"/>
              </w:rPr>
              <w:t xml:space="preserve">Veira leads with hardware (a free terminal) and tax compliance; BizYangu leads with the unified transaction model and a phone-native, no-terminal-required flow suited to the smallest dukas.</w:t>
            </w:r>
          </w:p>
        </w:tc>
      </w:tr>
      <w:tr>
        <w:tc>
          <w:tcPr>
            <w:tcW w:type="dxa" w:w="1683"/>
            <w:shd w:fill="F2F7F6" w:val="clear"/>
            <w:tcMar>
              <w:top w:type="dxa" w:w="80"/>
              <w:left w:type="dxa" w:w="100"/>
              <w:bottom w:type="dxa" w:w="80"/>
              <w:right w:type="dxa" w:w="100"/>
            </w:tcMar>
          </w:tcPr>
          <w:p>
            <w:r>
              <w:rPr>
                <w:color w:val="1A1A1A"/>
                <w:sz w:val="19"/>
                <w:szCs w:val="19"/>
              </w:rPr>
              <w:t xml:space="preserve">Duka Track ERP</w:t>
            </w:r>
          </w:p>
        </w:tc>
        <w:tc>
          <w:tcPr>
            <w:tcW w:type="dxa" w:w="3927"/>
            <w:shd w:fill="F2F7F6" w:val="clear"/>
            <w:tcMar>
              <w:top w:type="dxa" w:w="80"/>
              <w:left w:type="dxa" w:w="100"/>
              <w:bottom w:type="dxa" w:w="80"/>
              <w:right w:type="dxa" w:w="100"/>
            </w:tcMar>
          </w:tcPr>
          <w:p>
            <w:r>
              <w:rPr>
                <w:color w:val="1A1A1A"/>
                <w:sz w:val="19"/>
                <w:szCs w:val="19"/>
              </w:rPr>
              <w:t xml:space="preserve">A cloud ERP/POS platform spanning retail, wholesale, inventory, M-Pesa, accounting, CRM, credit sales, and multi-branch reporting</w:t>
            </w:r>
          </w:p>
        </w:tc>
        <w:tc>
          <w:tcPr>
            <w:tcW w:type="dxa" w:w="3740"/>
            <w:shd w:fill="F2F7F6" w:val="clear"/>
            <w:tcMar>
              <w:top w:type="dxa" w:w="80"/>
              <w:left w:type="dxa" w:w="100"/>
              <w:bottom w:type="dxa" w:w="80"/>
              <w:right w:type="dxa" w:w="100"/>
            </w:tcMar>
          </w:tcPr>
          <w:p>
            <w:r>
              <w:rPr>
                <w:color w:val="1A1A1A"/>
                <w:sz w:val="19"/>
                <w:szCs w:val="19"/>
              </w:rPr>
              <w:t xml:space="preserve">Duka Track is accounting/ERP-first and multi-branch from day one; BizYangu is deliberately narrower today (Section 3) — single-location clarity before ERP breadth.</w:t>
            </w:r>
          </w:p>
        </w:tc>
      </w:tr>
      <w:tr>
        <w:tc>
          <w:tcPr>
            <w:tcW w:type="dxa" w:w="1683"/>
            <w:tcMar>
              <w:top w:type="dxa" w:w="80"/>
              <w:left w:type="dxa" w:w="100"/>
              <w:bottom w:type="dxa" w:w="80"/>
              <w:right w:type="dxa" w:w="100"/>
            </w:tcMar>
          </w:tcPr>
          <w:p>
            <w:r>
              <w:rPr>
                <w:color w:val="1A1A1A"/>
                <w:sz w:val="19"/>
                <w:szCs w:val="19"/>
              </w:rPr>
              <w:t xml:space="preserve">Pesapal Duka Manager</w:t>
            </w:r>
          </w:p>
        </w:tc>
        <w:tc>
          <w:tcPr>
            <w:tcW w:type="dxa" w:w="3927"/>
            <w:tcMar>
              <w:top w:type="dxa" w:w="80"/>
              <w:left w:type="dxa" w:w="100"/>
              <w:bottom w:type="dxa" w:w="80"/>
              <w:right w:type="dxa" w:w="100"/>
            </w:tcMar>
          </w:tcPr>
          <w:p>
            <w:r>
              <w:rPr>
                <w:color w:val="1A1A1A"/>
                <w:sz w:val="19"/>
                <w:szCs w:val="19"/>
              </w:rPr>
              <w:t xml:space="preserve">A business-management app from an established Kenyan payments company, tracking sales, inventory, and payments from a phone</w:t>
            </w:r>
          </w:p>
        </w:tc>
        <w:tc>
          <w:tcPr>
            <w:tcW w:type="dxa" w:w="3740"/>
            <w:tcMar>
              <w:top w:type="dxa" w:w="80"/>
              <w:left w:type="dxa" w:w="100"/>
              <w:bottom w:type="dxa" w:w="80"/>
              <w:right w:type="dxa" w:w="100"/>
            </w:tcMar>
          </w:tcPr>
          <w:p>
            <w:r>
              <w:rPr>
                <w:color w:val="1A1A1A"/>
                <w:sz w:val="19"/>
                <w:szCs w:val="19"/>
              </w:rPr>
              <w:t xml:space="preserve">Backed by an established payments brand with existing merchant trust; BizYangu’s edge is depth on the specific pain points discovery surfaced (unrecorded sales, taxonomy-driven catalog growth) rather than payments-brand distribution.</w:t>
            </w:r>
          </w:p>
        </w:tc>
      </w:tr>
      <w:tr>
        <w:tc>
          <w:tcPr>
            <w:tcW w:type="dxa" w:w="1683"/>
            <w:shd w:fill="F2F7F6" w:val="clear"/>
            <w:tcMar>
              <w:top w:type="dxa" w:w="80"/>
              <w:left w:type="dxa" w:w="100"/>
              <w:bottom w:type="dxa" w:w="80"/>
              <w:right w:type="dxa" w:w="100"/>
            </w:tcMar>
          </w:tcPr>
          <w:p>
            <w:r>
              <w:rPr>
                <w:color w:val="1A1A1A"/>
                <w:sz w:val="19"/>
                <w:szCs w:val="19"/>
              </w:rPr>
              <w:t xml:space="preserve">Wasoko (formerly Sokowatch)</w:t>
            </w:r>
          </w:p>
        </w:tc>
        <w:tc>
          <w:tcPr>
            <w:tcW w:type="dxa" w:w="3927"/>
            <w:shd w:fill="F2F7F6" w:val="clear"/>
            <w:tcMar>
              <w:top w:type="dxa" w:w="80"/>
              <w:left w:type="dxa" w:w="100"/>
              <w:bottom w:type="dxa" w:w="80"/>
              <w:right w:type="dxa" w:w="100"/>
            </w:tcMar>
          </w:tcPr>
          <w:p>
            <w:r>
              <w:rPr>
                <w:color w:val="1A1A1A"/>
                <w:sz w:val="19"/>
                <w:szCs w:val="19"/>
              </w:rPr>
              <w:t xml:space="preserve">A last-mile FMCG stock supply and delivery service for informal retailers, with a buy-now-pay-later financing option</w:t>
            </w:r>
          </w:p>
        </w:tc>
        <w:tc>
          <w:tcPr>
            <w:tcW w:type="dxa" w:w="3740"/>
            <w:shd w:fill="F2F7F6" w:val="clear"/>
            <w:tcMar>
              <w:top w:type="dxa" w:w="80"/>
              <w:left w:type="dxa" w:w="100"/>
              <w:bottom w:type="dxa" w:w="80"/>
              <w:right w:type="dxa" w:w="100"/>
            </w:tcMar>
          </w:tcPr>
          <w:p>
            <w:r>
              <w:rPr>
                <w:color w:val="1A1A1A"/>
                <w:sz w:val="19"/>
                <w:szCs w:val="19"/>
              </w:rPr>
              <w:t xml:space="preserve">A different layer of the stack — Wasoko gets stock into the shop; BizYangu manages what happens to it once it’s there. Potentially complementary rather than competing.</w:t>
            </w:r>
          </w:p>
        </w:tc>
      </w:tr>
      <w:tr>
        <w:tc>
          <w:tcPr>
            <w:tcW w:type="dxa" w:w="1683"/>
            <w:tcMar>
              <w:top w:type="dxa" w:w="80"/>
              <w:left w:type="dxa" w:w="100"/>
              <w:bottom w:type="dxa" w:w="80"/>
              <w:right w:type="dxa" w:w="100"/>
            </w:tcMar>
          </w:tcPr>
          <w:p>
            <w:r>
              <w:rPr>
                <w:color w:val="1A1A1A"/>
                <w:sz w:val="19"/>
                <w:szCs w:val="19"/>
              </w:rPr>
              <w:t xml:space="preserve">sell.ke, dPOS, SimplePOS, Duka Digital, StockWise</w:t>
            </w:r>
          </w:p>
        </w:tc>
        <w:tc>
          <w:tcPr>
            <w:tcW w:type="dxa" w:w="3927"/>
            <w:tcMar>
              <w:top w:type="dxa" w:w="80"/>
              <w:left w:type="dxa" w:w="100"/>
              <w:bottom w:type="dxa" w:w="80"/>
              <w:right w:type="dxa" w:w="100"/>
            </w:tcMar>
          </w:tcPr>
          <w:p>
            <w:r>
              <w:rPr>
                <w:color w:val="1A1A1A"/>
                <w:sz w:val="19"/>
                <w:szCs w:val="19"/>
              </w:rPr>
              <w:t xml:space="preserve">A cluster of smaller Kenyan POS/inventory apps, several explicitly targeting dukas and kiosks with lightweight, phone-based tracking</w:t>
            </w:r>
          </w:p>
        </w:tc>
        <w:tc>
          <w:tcPr>
            <w:tcW w:type="dxa" w:w="3740"/>
            <w:tcMar>
              <w:top w:type="dxa" w:w="80"/>
              <w:left w:type="dxa" w:w="100"/>
              <w:bottom w:type="dxa" w:w="80"/>
              <w:right w:type="dxa" w:w="100"/>
            </w:tcMar>
          </w:tcPr>
          <w:p>
            <w:r>
              <w:rPr>
                <w:color w:val="1A1A1A"/>
                <w:sz w:val="19"/>
                <w:szCs w:val="19"/>
              </w:rPr>
              <w:t xml:space="preserve">This is the most direct competitive set. Differentiation has to be earned on execution: the taxonomy-driven catalog (Phase 8), the sell-without-inventory flow (Phase 9), and pricing that flexes by vertical and traffic (Section 10) rather than one flat tier.</w:t>
            </w:r>
          </w:p>
        </w:tc>
      </w:tr>
    </w:tbl>
    <w:p>
      <w:pPr>
        <w:spacing w:after="160"/>
      </w:pPr>
    </w:p>
    <w:p>
      <w:pPr>
        <w:pStyle w:val="Heading2"/>
        <w:spacing w:after="120" w:before="300"/>
      </w:pPr>
      <w:r>
        <w:rPr>
          <w:b/>
          <w:bCs/>
          <w:color w:val="1A1A1A"/>
          <w:sz w:val="24"/>
          <w:szCs w:val="24"/>
        </w:rPr>
        <w:t xml:space="preserve">Where We Believe We Can Win</w:t>
      </w:r>
    </w:p>
    <w:p>
      <w:pPr>
        <w:pStyle w:val="ListParagraph"/>
        <w:numPr>
          <w:ilvl w:val="0"/>
          <w:numId w:val="1"/>
        </w:numPr>
        <w:spacing w:after="80"/>
      </w:pPr>
      <w:r>
        <w:rPr>
          <w:color w:val="1A1A1A"/>
          <w:sz w:val="21"/>
          <w:szCs w:val="21"/>
        </w:rPr>
        <w:t xml:space="preserve">A curated product taxonomy (Section 7, Phase 8) rather than a flat product list or a blank text field — faster, more consistent catalog-building than most lightweight competitors offer.</w:t>
      </w:r>
    </w:p>
    <w:p>
      <w:pPr>
        <w:pStyle w:val="ListParagraph"/>
        <w:numPr>
          <w:ilvl w:val="0"/>
          <w:numId w:val="1"/>
        </w:numPr>
        <w:spacing w:after="80"/>
      </w:pPr>
      <w:r>
        <w:rPr>
          <w:color w:val="1A1A1A"/>
          <w:sz w:val="21"/>
          <w:szCs w:val="21"/>
        </w:rPr>
        <w:t xml:space="preserve">Selling that never blocks on a missing product (Phase 9, in progress) — addressing the exact "unrecorded sale" failure mode discovery identified as the top loss cause, ahead of theft or spoilage.</w:t>
      </w:r>
    </w:p>
    <w:p>
      <w:pPr>
        <w:pStyle w:val="ListParagraph"/>
        <w:numPr>
          <w:ilvl w:val="0"/>
          <w:numId w:val="1"/>
        </w:numPr>
        <w:spacing w:after="80"/>
      </w:pPr>
      <w:r>
        <w:rPr>
          <w:color w:val="1A1A1A"/>
          <w:sz w:val="21"/>
          <w:szCs w:val="21"/>
        </w:rPr>
        <w:t xml:space="preserve">Pricing informed directly by real willingness-to-pay data across verticals (Section 10), rather than a single price point applied uniformly.</w:t>
      </w:r>
    </w:p>
    <w:p>
      <w:pPr>
        <w:spacing w:after="160"/>
      </w:pPr>
      <w:r>
        <w:rPr>
          <w:i/>
          <w:iCs/>
          <w:color w:val="595959"/>
          <w:sz w:val="21"/>
          <w:szCs w:val="21"/>
        </w:rPr>
        <w:t xml:space="preserve">We have not conducted a formal side-by-side feature or pricing audit of every competitor listed here; this is a directional map based on public information, to be sharpened as the pilot surfaces which alternatives our own prospective customers are actually comparing us against.</w:t>
      </w:r>
    </w:p>
    <w:p>
      <w:pPr>
        <w:pStyle w:val="Heading1"/>
        <w:pBdr>
          <w:bottom w:val="single" w:color="0E7C6B" w:sz="12" w:space="6"/>
        </w:pBdr>
        <w:spacing w:after="200" w:before="480"/>
      </w:pPr>
      <w:r>
        <w:rPr>
          <w:b/>
          <w:bCs/>
          <w:color w:val="0E7C6B"/>
          <w:sz w:val="30"/>
          <w:szCs w:val="30"/>
        </w:rPr>
        <w:t xml:space="preserve">9. PILOT PROGRAM</w:t>
      </w:r>
    </w:p>
    <w:p>
      <w:pPr>
        <w:spacing w:after="160"/>
      </w:pPr>
      <w:r>
        <w:rPr>
          <w:color w:val="1A1A1A"/>
          <w:sz w:val="21"/>
          <w:szCs w:val="21"/>
        </w:rPr>
        <w:t xml:space="preserve">The live pilot launches this week — the first time real businesses will run their real, daily operations on BizYangu rather than a demo. Everything in this section is a plan for what starts now, not a report of results yet; results will be folded into the next revision of this plan as they come in.</w:t>
      </w:r>
    </w:p>
    <w:p>
      <w:pPr>
        <w:pStyle w:val="Heading2"/>
        <w:spacing w:after="120" w:before="300"/>
      </w:pPr>
      <w:r>
        <w:rPr>
          <w:b/>
          <w:bCs/>
          <w:color w:val="1A1A1A"/>
          <w:sz w:val="24"/>
          <w:szCs w:val="24"/>
        </w:rPr>
        <w:t xml:space="preserve">Who’s In It</w:t>
      </w:r>
    </w:p>
    <w:p>
      <w:pPr>
        <w:spacing w:after="160"/>
      </w:pPr>
      <w:r>
        <w:rPr>
          <w:color w:val="1A1A1A"/>
          <w:sz w:val="21"/>
          <w:szCs w:val="21"/>
        </w:rPr>
        <w:t xml:space="preserve">Pilot participants are being drawn primarily from the discovery interview pool (Section 4) — owners who already engaged with the pitch, several of whom left contact details and expressed direct interest. This gives the pilot a real advantage: participants already understand the problem the product solves and, in several cases, already know roughly what they’d expect to pay.</w:t>
      </w:r>
    </w:p>
    <w:p>
      <w:pPr>
        <w:pStyle w:val="Heading2"/>
        <w:spacing w:after="120" w:before="300"/>
      </w:pPr>
      <w:r>
        <w:rPr>
          <w:b/>
          <w:bCs/>
          <w:color w:val="1A1A1A"/>
          <w:sz w:val="24"/>
          <w:szCs w:val="24"/>
        </w:rPr>
        <w:t xml:space="preserve">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6919"/>
      </w:tblGrid>
      <w:tr>
        <w:trPr>
          <w:tblHeader/>
        </w:trPr>
        <w:tc>
          <w:tcPr>
            <w:tcW w:type="dxa" w:w="2431"/>
            <w:shd w:fill="0E7C6B" w:val="clear"/>
            <w:tcMar>
              <w:top w:type="dxa" w:w="80"/>
              <w:left w:type="dxa" w:w="100"/>
              <w:bottom w:type="dxa" w:w="80"/>
              <w:right w:type="dxa" w:w="100"/>
            </w:tcMar>
          </w:tcPr>
          <w:p>
            <w:r>
              <w:rPr>
                <w:b/>
                <w:bCs/>
                <w:color w:val="FFFFFF"/>
                <w:sz w:val="19"/>
                <w:szCs w:val="19"/>
              </w:rPr>
              <w:t xml:space="preserve">Element</w:t>
            </w:r>
          </w:p>
        </w:tc>
        <w:tc>
          <w:tcPr>
            <w:tcW w:type="dxa" w:w="6919"/>
            <w:shd w:fill="0E7C6B" w:val="clear"/>
            <w:tcMar>
              <w:top w:type="dxa" w:w="80"/>
              <w:left w:type="dxa" w:w="100"/>
              <w:bottom w:type="dxa" w:w="80"/>
              <w:right w:type="dxa" w:w="100"/>
            </w:tcMar>
          </w:tcPr>
          <w:p>
            <w:r>
              <w:rPr>
                <w:b/>
                <w:bCs/>
                <w:color w:val="FFFFFF"/>
                <w:sz w:val="19"/>
                <w:szCs w:val="19"/>
              </w:rPr>
              <w:t xml:space="preserve">Plan</w:t>
            </w:r>
          </w:p>
        </w:tc>
      </w:tr>
      <w:tr>
        <w:tc>
          <w:tcPr>
            <w:tcW w:type="dxa" w:w="2431"/>
            <w:tcMar>
              <w:top w:type="dxa" w:w="80"/>
              <w:left w:type="dxa" w:w="100"/>
              <w:bottom w:type="dxa" w:w="80"/>
              <w:right w:type="dxa" w:w="100"/>
            </w:tcMar>
          </w:tcPr>
          <w:p>
            <w:r>
              <w:rPr>
                <w:color w:val="1A1A1A"/>
                <w:sz w:val="19"/>
                <w:szCs w:val="19"/>
              </w:rPr>
              <w:t xml:space="preserve">Size</w:t>
            </w:r>
          </w:p>
        </w:tc>
        <w:tc>
          <w:tcPr>
            <w:tcW w:type="dxa" w:w="6919"/>
            <w:tcMar>
              <w:top w:type="dxa" w:w="80"/>
              <w:left w:type="dxa" w:w="100"/>
              <w:bottom w:type="dxa" w:w="80"/>
              <w:right w:type="dxa" w:w="100"/>
            </w:tcMar>
          </w:tcPr>
          <w:p>
            <w:r>
              <w:rPr>
                <w:color w:val="1A1A1A"/>
                <w:sz w:val="19"/>
                <w:szCs w:val="19"/>
              </w:rPr>
              <w:t xml:space="preserve">5–10 businesses to start, weighted toward the verticals with the strongest discovery signal (dukas/kiosks, hardware, boutiques)</w:t>
            </w:r>
          </w:p>
        </w:tc>
      </w:tr>
      <w:tr>
        <w:tc>
          <w:tcPr>
            <w:tcW w:type="dxa" w:w="2431"/>
            <w:shd w:fill="F2F7F6" w:val="clear"/>
            <w:tcMar>
              <w:top w:type="dxa" w:w="80"/>
              <w:left w:type="dxa" w:w="100"/>
              <w:bottom w:type="dxa" w:w="80"/>
              <w:right w:type="dxa" w:w="100"/>
            </w:tcMar>
          </w:tcPr>
          <w:p>
            <w:r>
              <w:rPr>
                <w:color w:val="1A1A1A"/>
                <w:sz w:val="19"/>
                <w:szCs w:val="19"/>
              </w:rPr>
              <w:t xml:space="preserve">Duration</w:t>
            </w:r>
          </w:p>
        </w:tc>
        <w:tc>
          <w:tcPr>
            <w:tcW w:type="dxa" w:w="6919"/>
            <w:shd w:fill="F2F7F6" w:val="clear"/>
            <w:tcMar>
              <w:top w:type="dxa" w:w="80"/>
              <w:left w:type="dxa" w:w="100"/>
              <w:bottom w:type="dxa" w:w="80"/>
              <w:right w:type="dxa" w:w="100"/>
            </w:tcMar>
          </w:tcPr>
          <w:p>
            <w:r>
              <w:rPr>
                <w:color w:val="1A1A1A"/>
                <w:sz w:val="19"/>
                <w:szCs w:val="19"/>
              </w:rPr>
              <w:t xml:space="preserve">Rolling — the goal is sustained daily use, not a fixed demo period; Day-30 retention (Section 5) is the first checkpoint</w:t>
            </w:r>
          </w:p>
        </w:tc>
      </w:tr>
      <w:tr>
        <w:tc>
          <w:tcPr>
            <w:tcW w:type="dxa" w:w="2431"/>
            <w:tcMar>
              <w:top w:type="dxa" w:w="80"/>
              <w:left w:type="dxa" w:w="100"/>
              <w:bottom w:type="dxa" w:w="80"/>
              <w:right w:type="dxa" w:w="100"/>
            </w:tcMar>
          </w:tcPr>
          <w:p>
            <w:r>
              <w:rPr>
                <w:color w:val="1A1A1A"/>
                <w:sz w:val="19"/>
                <w:szCs w:val="19"/>
              </w:rPr>
              <w:t xml:space="preserve">Cost to participant</w:t>
            </w:r>
          </w:p>
        </w:tc>
        <w:tc>
          <w:tcPr>
            <w:tcW w:type="dxa" w:w="6919"/>
            <w:tcMar>
              <w:top w:type="dxa" w:w="80"/>
              <w:left w:type="dxa" w:w="100"/>
              <w:bottom w:type="dxa" w:w="80"/>
              <w:right w:type="dxa" w:w="100"/>
            </w:tcMar>
          </w:tcPr>
          <w:p>
            <w:r>
              <w:rPr>
                <w:color w:val="1A1A1A"/>
                <w:sz w:val="19"/>
                <w:szCs w:val="19"/>
              </w:rPr>
              <w:t xml:space="preserve">Free during the pilot — paid conversion is asked for at pilot close (Section 5), not before, per the trust checklist discovery surfaced</w:t>
            </w:r>
          </w:p>
        </w:tc>
      </w:tr>
      <w:tr>
        <w:tc>
          <w:tcPr>
            <w:tcW w:type="dxa" w:w="2431"/>
            <w:shd w:fill="F2F7F6" w:val="clear"/>
            <w:tcMar>
              <w:top w:type="dxa" w:w="80"/>
              <w:left w:type="dxa" w:w="100"/>
              <w:bottom w:type="dxa" w:w="80"/>
              <w:right w:type="dxa" w:w="100"/>
            </w:tcMar>
          </w:tcPr>
          <w:p>
            <w:r>
              <w:rPr>
                <w:color w:val="1A1A1A"/>
                <w:sz w:val="19"/>
                <w:szCs w:val="19"/>
              </w:rPr>
              <w:t xml:space="preserve">Support model</w:t>
            </w:r>
          </w:p>
        </w:tc>
        <w:tc>
          <w:tcPr>
            <w:tcW w:type="dxa" w:w="6919"/>
            <w:shd w:fill="F2F7F6" w:val="clear"/>
            <w:tcMar>
              <w:top w:type="dxa" w:w="80"/>
              <w:left w:type="dxa" w:w="100"/>
              <w:bottom w:type="dxa" w:w="80"/>
              <w:right w:type="dxa" w:w="100"/>
            </w:tcMar>
          </w:tcPr>
          <w:p>
            <w:r>
              <w:rPr>
                <w:color w:val="1A1A1A"/>
                <w:sz w:val="19"/>
                <w:szCs w:val="19"/>
              </w:rPr>
              <w:t xml:space="preserve">Direct, hands-on onboarding and support given the small initial cohort — not yet a scaled support process</w:t>
            </w:r>
          </w:p>
        </w:tc>
      </w:tr>
      <w:tr>
        <w:tc>
          <w:tcPr>
            <w:tcW w:type="dxa" w:w="2431"/>
            <w:tcMar>
              <w:top w:type="dxa" w:w="80"/>
              <w:left w:type="dxa" w:w="100"/>
              <w:bottom w:type="dxa" w:w="80"/>
              <w:right w:type="dxa" w:w="100"/>
            </w:tcMar>
          </w:tcPr>
          <w:p>
            <w:r>
              <w:rPr>
                <w:color w:val="1A1A1A"/>
                <w:sz w:val="19"/>
                <w:szCs w:val="19"/>
              </w:rPr>
              <w:t xml:space="preserve">What we’re watching</w:t>
            </w:r>
          </w:p>
        </w:tc>
        <w:tc>
          <w:tcPr>
            <w:tcW w:type="dxa" w:w="6919"/>
            <w:tcMar>
              <w:top w:type="dxa" w:w="80"/>
              <w:left w:type="dxa" w:w="100"/>
              <w:bottom w:type="dxa" w:w="80"/>
              <w:right w:type="dxa" w:w="100"/>
            </w:tcMar>
          </w:tcPr>
          <w:p>
            <w:r>
              <w:rPr>
                <w:color w:val="1A1A1A"/>
                <w:sz w:val="19"/>
                <w:szCs w:val="19"/>
              </w:rPr>
              <w:t xml:space="preserve">Daily active use, which features get used unprompted, where the sell flow or reconciliation breaks down in real conditions, and unprompted feedback on pricing once real value has been felt rather than just pitched</w:t>
            </w:r>
          </w:p>
        </w:tc>
      </w:tr>
    </w:tbl>
    <w:p>
      <w:pPr>
        <w:spacing w:after="160"/>
      </w:pPr>
    </w:p>
    <w:p>
      <w:pPr>
        <w:pBdr>
          <w:top w:val="single" w:color="0E7C6B" w:sz="6" w:space="4"/>
          <w:bottom w:val="single" w:color="0E7C6B" w:sz="6" w:space="4"/>
          <w:left w:val="single" w:color="0E7C6B" w:sz="6" w:space="4"/>
          <w:right w:val="single" w:color="0E7C6B" w:sz="6" w:space="4"/>
        </w:pBdr>
        <w:shd w:fill="F2F7F6" w:val="clear"/>
        <w:spacing w:after="200" w:before="80"/>
      </w:pPr>
      <w:r>
        <w:rPr>
          <w:i/>
          <w:iCs/>
          <w:color w:val="1A1A1A"/>
          <w:sz w:val="20"/>
          <w:szCs w:val="20"/>
        </w:rPr>
        <w:t xml:space="preserve">Everything downstream of this pilot — the Section 10 pricing structure, the Section 13 financial projections, and the go-to-market sequencing in Section 11 — should be treated as the current best plan, to be revised once real pilot data exists. That revision is expected and welcome, not a sign the current plan was wrong.</w:t>
      </w:r>
    </w:p>
    <w:p>
      <w:pPr>
        <w:pStyle w:val="Heading1"/>
        <w:pBdr>
          <w:bottom w:val="single" w:color="0E7C6B" w:sz="12" w:space="6"/>
        </w:pBdr>
        <w:spacing w:after="200" w:before="480"/>
      </w:pPr>
      <w:r>
        <w:rPr>
          <w:b/>
          <w:bCs/>
          <w:color w:val="0E7C6B"/>
          <w:sz w:val="30"/>
          <w:szCs w:val="30"/>
        </w:rPr>
        <w:t xml:space="preserve">10. BUSINESS MODEL &amp; PRICING</w:t>
      </w:r>
    </w:p>
    <w:p>
      <w:pPr>
        <w:spacing w:after="160"/>
      </w:pPr>
      <w:r>
        <w:rPr>
          <w:color w:val="1A1A1A"/>
          <w:sz w:val="21"/>
          <w:szCs w:val="21"/>
        </w:rPr>
        <w:t xml:space="preserve">v1.0 assumed a single pricing ladder. Discovery made clear that was the wrong shape: willingness to pay varies by business type and by traffic/volume, not by a business simply choosing a bigger or smaller plan for its own sake. This version restructures pricing around that finding.</w:t>
      </w:r>
    </w:p>
    <w:p>
      <w:pPr>
        <w:pStyle w:val="Heading2"/>
        <w:spacing w:after="120" w:before="300"/>
      </w:pPr>
      <w:r>
        <w:rPr>
          <w:b/>
          <w:bCs/>
          <w:color w:val="1A1A1A"/>
          <w:sz w:val="24"/>
          <w:szCs w:val="24"/>
        </w:rPr>
        <w:t xml:space="preserve">What Discovery Told Us About Price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18"/>
        <w:gridCol w:w="6732"/>
      </w:tblGrid>
      <w:tr>
        <w:trPr>
          <w:tblHeader/>
        </w:trPr>
        <w:tc>
          <w:tcPr>
            <w:tcW w:type="dxa" w:w="2618"/>
            <w:shd w:fill="0E7C6B" w:val="clear"/>
            <w:tcMar>
              <w:top w:type="dxa" w:w="80"/>
              <w:left w:type="dxa" w:w="100"/>
              <w:bottom w:type="dxa" w:w="80"/>
              <w:right w:type="dxa" w:w="100"/>
            </w:tcMar>
          </w:tcPr>
          <w:p>
            <w:r>
              <w:rPr>
                <w:b/>
                <w:bCs/>
                <w:color w:val="FFFFFF"/>
                <w:sz w:val="19"/>
                <w:szCs w:val="19"/>
              </w:rPr>
              <w:t xml:space="preserve">Signal</w:t>
            </w:r>
          </w:p>
        </w:tc>
        <w:tc>
          <w:tcPr>
            <w:tcW w:type="dxa" w:w="6732"/>
            <w:shd w:fill="0E7C6B" w:val="clear"/>
            <w:tcMar>
              <w:top w:type="dxa" w:w="80"/>
              <w:left w:type="dxa" w:w="100"/>
              <w:bottom w:type="dxa" w:w="80"/>
              <w:right w:type="dxa" w:w="100"/>
            </w:tcMar>
          </w:tcPr>
          <w:p>
            <w:r>
              <w:rPr>
                <w:b/>
                <w:bCs/>
                <w:color w:val="FFFFFF"/>
                <w:sz w:val="19"/>
                <w:szCs w:val="19"/>
              </w:rPr>
              <w:t xml:space="preserve">What we saw</w:t>
            </w:r>
          </w:p>
        </w:tc>
      </w:tr>
      <w:tr>
        <w:tc>
          <w:tcPr>
            <w:tcW w:type="dxa" w:w="2618"/>
            <w:tcMar>
              <w:top w:type="dxa" w:w="80"/>
              <w:left w:type="dxa" w:w="100"/>
              <w:bottom w:type="dxa" w:w="80"/>
              <w:right w:type="dxa" w:w="100"/>
            </w:tcMar>
          </w:tcPr>
          <w:p>
            <w:r>
              <w:rPr>
                <w:color w:val="1A1A1A"/>
                <w:sz w:val="19"/>
                <w:szCs w:val="19"/>
              </w:rPr>
              <w:t xml:space="preserve">Range</w:t>
            </w:r>
          </w:p>
        </w:tc>
        <w:tc>
          <w:tcPr>
            <w:tcW w:type="dxa" w:w="6732"/>
            <w:tcMar>
              <w:top w:type="dxa" w:w="80"/>
              <w:left w:type="dxa" w:w="100"/>
              <w:bottom w:type="dxa" w:w="80"/>
              <w:right w:type="dxa" w:w="100"/>
            </w:tcMar>
          </w:tcPr>
          <w:p>
            <w:r>
              <w:rPr>
                <w:color w:val="1A1A1A"/>
                <w:sz w:val="19"/>
                <w:szCs w:val="19"/>
              </w:rPr>
              <w:t xml:space="preserve">Roughly KES 100–300/month at the low end (several boutique and duka respondents), KES 300–500/month in the middle (hardware, some duka/boutique), and KES 1,000+/month from at least one higher-traffic hardware respondent who was comfortable with that figure without hesitation</w:t>
            </w:r>
          </w:p>
        </w:tc>
      </w:tr>
      <w:tr>
        <w:tc>
          <w:tcPr>
            <w:tcW w:type="dxa" w:w="2618"/>
            <w:shd w:fill="F2F7F6" w:val="clear"/>
            <w:tcMar>
              <w:top w:type="dxa" w:w="80"/>
              <w:left w:type="dxa" w:w="100"/>
              <w:bottom w:type="dxa" w:w="80"/>
              <w:right w:type="dxa" w:w="100"/>
            </w:tcMar>
          </w:tcPr>
          <w:p>
            <w:r>
              <w:rPr>
                <w:color w:val="1A1A1A"/>
                <w:sz w:val="19"/>
                <w:szCs w:val="19"/>
              </w:rPr>
              <w:t xml:space="preserve">Free-only responses</w:t>
            </w:r>
          </w:p>
        </w:tc>
        <w:tc>
          <w:tcPr>
            <w:tcW w:type="dxa" w:w="6732"/>
            <w:shd w:fill="F2F7F6" w:val="clear"/>
            <w:tcMar>
              <w:top w:type="dxa" w:w="80"/>
              <w:left w:type="dxa" w:w="100"/>
              <w:bottom w:type="dxa" w:w="80"/>
              <w:right w:type="dxa" w:w="100"/>
            </w:tcMar>
          </w:tcPr>
          <w:p>
            <w:r>
              <w:rPr>
                <w:color w:val="1A1A1A"/>
                <w:sz w:val="19"/>
                <w:szCs w:val="19"/>
              </w:rPr>
              <w:t xml:space="preserve">Two respondents, both boutique owners from the same later interview batch, said they would only use it for free — a small but real signal that a segment of the market needs a functioning free tier or a longer free trial before converting, not a segment to write off</w:t>
            </w:r>
          </w:p>
        </w:tc>
      </w:tr>
      <w:tr>
        <w:tc>
          <w:tcPr>
            <w:tcW w:type="dxa" w:w="2618"/>
            <w:tcMar>
              <w:top w:type="dxa" w:w="80"/>
              <w:left w:type="dxa" w:w="100"/>
              <w:bottom w:type="dxa" w:w="80"/>
              <w:right w:type="dxa" w:w="100"/>
            </w:tcMar>
          </w:tcPr>
          <w:p>
            <w:r>
              <w:rPr>
                <w:color w:val="1A1A1A"/>
                <w:sz w:val="19"/>
                <w:szCs w:val="19"/>
              </w:rPr>
              <w:t xml:space="preserve">Payment cadence preference</w:t>
            </w:r>
          </w:p>
        </w:tc>
        <w:tc>
          <w:tcPr>
            <w:tcW w:type="dxa" w:w="6732"/>
            <w:tcMar>
              <w:top w:type="dxa" w:w="80"/>
              <w:left w:type="dxa" w:w="100"/>
              <w:bottom w:type="dxa" w:w="80"/>
              <w:right w:type="dxa" w:w="100"/>
            </w:tcMar>
          </w:tcPr>
          <w:p>
            <w:r>
              <w:rPr>
                <w:color w:val="1A1A1A"/>
                <w:sz w:val="19"/>
                <w:szCs w:val="19"/>
              </w:rPr>
              <w:t xml:space="preserve">Monthly subscription was the cadence named where a preference was expressed</w:t>
            </w:r>
          </w:p>
        </w:tc>
      </w:tr>
      <w:tr>
        <w:tc>
          <w:tcPr>
            <w:tcW w:type="dxa" w:w="2618"/>
            <w:shd w:fill="F2F7F6" w:val="clear"/>
            <w:tcMar>
              <w:top w:type="dxa" w:w="80"/>
              <w:left w:type="dxa" w:w="100"/>
              <w:bottom w:type="dxa" w:w="80"/>
              <w:right w:type="dxa" w:w="100"/>
            </w:tcMar>
          </w:tcPr>
          <w:p>
            <w:r>
              <w:rPr>
                <w:color w:val="1A1A1A"/>
                <w:sz w:val="19"/>
                <w:szCs w:val="19"/>
              </w:rPr>
              <w:t xml:space="preserve">Trust gate before any payment</w:t>
            </w:r>
          </w:p>
        </w:tc>
        <w:tc>
          <w:tcPr>
            <w:tcW w:type="dxa" w:w="6732"/>
            <w:shd w:fill="F2F7F6" w:val="clear"/>
            <w:tcMar>
              <w:top w:type="dxa" w:w="80"/>
              <w:left w:type="dxa" w:w="100"/>
              <w:bottom w:type="dxa" w:w="80"/>
              <w:right w:type="dxa" w:w="100"/>
            </w:tcMar>
          </w:tcPr>
          <w:p>
            <w:r>
              <w:rPr>
                <w:color w:val="1A1A1A"/>
                <w:sz w:val="19"/>
                <w:szCs w:val="19"/>
              </w:rPr>
              <w:t xml:space="preserve">Free trial, a demo first, data-security assurance, and social proof (someone else already using it) came up across nearly every respondent, regardless of price sensitivity — this is a precondition for conversion, not a pricing tier itself</w:t>
            </w:r>
          </w:p>
        </w:tc>
      </w:tr>
    </w:tbl>
    <w:p>
      <w:pPr>
        <w:spacing w:after="160"/>
      </w:pPr>
    </w:p>
    <w:p>
      <w:pPr>
        <w:pStyle w:val="Heading2"/>
        <w:spacing w:after="120" w:before="300"/>
      </w:pPr>
      <w:r>
        <w:rPr>
          <w:b/>
          <w:bCs/>
          <w:color w:val="1A1A1A"/>
          <w:sz w:val="24"/>
          <w:szCs w:val="24"/>
        </w:rPr>
        <w:t xml:space="preserve">Proposed Structure (to be tested at pilot close, not before)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2244"/>
        <w:gridCol w:w="5423"/>
      </w:tblGrid>
      <w:tr>
        <w:trPr>
          <w:tblHeader/>
        </w:trPr>
        <w:tc>
          <w:tcPr>
            <w:tcW w:type="dxa" w:w="1683"/>
            <w:shd w:fill="0E7C6B" w:val="clear"/>
            <w:tcMar>
              <w:top w:type="dxa" w:w="80"/>
              <w:left w:type="dxa" w:w="100"/>
              <w:bottom w:type="dxa" w:w="80"/>
              <w:right w:type="dxa" w:w="100"/>
            </w:tcMar>
          </w:tcPr>
          <w:p>
            <w:r>
              <w:rPr>
                <w:b/>
                <w:bCs/>
                <w:color w:val="FFFFFF"/>
                <w:sz w:val="19"/>
                <w:szCs w:val="19"/>
              </w:rPr>
              <w:t xml:space="preserve">Tier</w:t>
            </w:r>
          </w:p>
        </w:tc>
        <w:tc>
          <w:tcPr>
            <w:tcW w:type="dxa" w:w="2244"/>
            <w:shd w:fill="0E7C6B" w:val="clear"/>
            <w:tcMar>
              <w:top w:type="dxa" w:w="80"/>
              <w:left w:type="dxa" w:w="100"/>
              <w:bottom w:type="dxa" w:w="80"/>
              <w:right w:type="dxa" w:w="100"/>
            </w:tcMar>
          </w:tcPr>
          <w:p>
            <w:r>
              <w:rPr>
                <w:b/>
                <w:bCs/>
                <w:color w:val="FFFFFF"/>
                <w:sz w:val="19"/>
                <w:szCs w:val="19"/>
              </w:rPr>
              <w:t xml:space="preserve">Indicative price</w:t>
            </w:r>
          </w:p>
        </w:tc>
        <w:tc>
          <w:tcPr>
            <w:tcW w:type="dxa" w:w="5423"/>
            <w:shd w:fill="0E7C6B" w:val="clear"/>
            <w:tcMar>
              <w:top w:type="dxa" w:w="80"/>
              <w:left w:type="dxa" w:w="100"/>
              <w:bottom w:type="dxa" w:w="80"/>
              <w:right w:type="dxa" w:w="100"/>
            </w:tcMar>
          </w:tcPr>
          <w:p>
            <w:r>
              <w:rPr>
                <w:b/>
                <w:bCs/>
                <w:color w:val="FFFFFF"/>
                <w:sz w:val="19"/>
                <w:szCs w:val="19"/>
              </w:rPr>
              <w:t xml:space="preserve">Fit</w:t>
            </w:r>
          </w:p>
        </w:tc>
      </w:tr>
      <w:tr>
        <w:tc>
          <w:tcPr>
            <w:tcW w:type="dxa" w:w="1683"/>
            <w:tcMar>
              <w:top w:type="dxa" w:w="80"/>
              <w:left w:type="dxa" w:w="100"/>
              <w:bottom w:type="dxa" w:w="80"/>
              <w:right w:type="dxa" w:w="100"/>
            </w:tcMar>
          </w:tcPr>
          <w:p>
            <w:r>
              <w:rPr>
                <w:color w:val="1A1A1A"/>
                <w:sz w:val="19"/>
                <w:szCs w:val="19"/>
              </w:rPr>
              <w:t xml:space="preserve">Starter</w:t>
            </w:r>
          </w:p>
        </w:tc>
        <w:tc>
          <w:tcPr>
            <w:tcW w:type="dxa" w:w="2244"/>
            <w:tcMar>
              <w:top w:type="dxa" w:w="80"/>
              <w:left w:type="dxa" w:w="100"/>
              <w:bottom w:type="dxa" w:w="80"/>
              <w:right w:type="dxa" w:w="100"/>
            </w:tcMar>
          </w:tcPr>
          <w:p>
            <w:r>
              <w:rPr>
                <w:color w:val="1A1A1A"/>
                <w:sz w:val="19"/>
                <w:szCs w:val="19"/>
              </w:rPr>
              <w:t xml:space="preserve">Free, or a low nominal fee</w:t>
            </w:r>
          </w:p>
        </w:tc>
        <w:tc>
          <w:tcPr>
            <w:tcW w:type="dxa" w:w="5423"/>
            <w:tcMar>
              <w:top w:type="dxa" w:w="80"/>
              <w:left w:type="dxa" w:w="100"/>
              <w:bottom w:type="dxa" w:w="80"/>
              <w:right w:type="dxa" w:w="100"/>
            </w:tcMar>
          </w:tcPr>
          <w:p>
            <w:r>
              <w:rPr>
                <w:color w:val="1A1A1A"/>
                <w:sz w:val="19"/>
                <w:szCs w:val="19"/>
              </w:rPr>
              <w:t xml:space="preserve">Solo-operator, lower-traffic businesses (single-person dukas, new boutiques) — the segment that told us plainly they need a free or near-free entry point</w:t>
            </w:r>
          </w:p>
        </w:tc>
      </w:tr>
      <w:tr>
        <w:tc>
          <w:tcPr>
            <w:tcW w:type="dxa" w:w="1683"/>
            <w:shd w:fill="F2F7F6" w:val="clear"/>
            <w:tcMar>
              <w:top w:type="dxa" w:w="80"/>
              <w:left w:type="dxa" w:w="100"/>
              <w:bottom w:type="dxa" w:w="80"/>
              <w:right w:type="dxa" w:w="100"/>
            </w:tcMar>
          </w:tcPr>
          <w:p>
            <w:r>
              <w:rPr>
                <w:color w:val="1A1A1A"/>
                <w:sz w:val="19"/>
                <w:szCs w:val="19"/>
              </w:rPr>
              <w:t xml:space="preserve">Standard</w:t>
            </w:r>
          </w:p>
        </w:tc>
        <w:tc>
          <w:tcPr>
            <w:tcW w:type="dxa" w:w="2244"/>
            <w:shd w:fill="F2F7F6" w:val="clear"/>
            <w:tcMar>
              <w:top w:type="dxa" w:w="80"/>
              <w:left w:type="dxa" w:w="100"/>
              <w:bottom w:type="dxa" w:w="80"/>
              <w:right w:type="dxa" w:w="100"/>
            </w:tcMar>
          </w:tcPr>
          <w:p>
            <w:r>
              <w:rPr>
                <w:color w:val="1A1A1A"/>
                <w:sz w:val="19"/>
                <w:szCs w:val="19"/>
              </w:rPr>
              <w:t xml:space="preserve">KES 100–300/month</w:t>
            </w:r>
          </w:p>
        </w:tc>
        <w:tc>
          <w:tcPr>
            <w:tcW w:type="dxa" w:w="5423"/>
            <w:shd w:fill="F2F7F6" w:val="clear"/>
            <w:tcMar>
              <w:top w:type="dxa" w:w="80"/>
              <w:left w:type="dxa" w:w="100"/>
              <w:bottom w:type="dxa" w:w="80"/>
              <w:right w:type="dxa" w:w="100"/>
            </w:tcMar>
          </w:tcPr>
          <w:p>
            <w:r>
              <w:rPr>
                <w:color w:val="1A1A1A"/>
                <w:sz w:val="19"/>
                <w:szCs w:val="19"/>
              </w:rPr>
              <w:t xml:space="preserve">Small businesses with 1–2 staff and steady but modest daily transaction volume</w:t>
            </w:r>
          </w:p>
        </w:tc>
      </w:tr>
      <w:tr>
        <w:tc>
          <w:tcPr>
            <w:tcW w:type="dxa" w:w="1683"/>
            <w:tcMar>
              <w:top w:type="dxa" w:w="80"/>
              <w:left w:type="dxa" w:w="100"/>
              <w:bottom w:type="dxa" w:w="80"/>
              <w:right w:type="dxa" w:w="100"/>
            </w:tcMar>
          </w:tcPr>
          <w:p>
            <w:r>
              <w:rPr>
                <w:color w:val="1A1A1A"/>
                <w:sz w:val="19"/>
                <w:szCs w:val="19"/>
              </w:rPr>
              <w:t xml:space="preserve">Growth</w:t>
            </w:r>
          </w:p>
        </w:tc>
        <w:tc>
          <w:tcPr>
            <w:tcW w:type="dxa" w:w="2244"/>
            <w:tcMar>
              <w:top w:type="dxa" w:w="80"/>
              <w:left w:type="dxa" w:w="100"/>
              <w:bottom w:type="dxa" w:w="80"/>
              <w:right w:type="dxa" w:w="100"/>
            </w:tcMar>
          </w:tcPr>
          <w:p>
            <w:r>
              <w:rPr>
                <w:color w:val="1A1A1A"/>
                <w:sz w:val="19"/>
                <w:szCs w:val="19"/>
              </w:rPr>
              <w:t xml:space="preserve">KES 300–500/month</w:t>
            </w:r>
          </w:p>
        </w:tc>
        <w:tc>
          <w:tcPr>
            <w:tcW w:type="dxa" w:w="5423"/>
            <w:tcMar>
              <w:top w:type="dxa" w:w="80"/>
              <w:left w:type="dxa" w:w="100"/>
              <w:bottom w:type="dxa" w:w="80"/>
              <w:right w:type="dxa" w:w="100"/>
            </w:tcMar>
          </w:tcPr>
          <w:p>
            <w:r>
              <w:rPr>
                <w:color w:val="1A1A1A"/>
                <w:sz w:val="19"/>
                <w:szCs w:val="19"/>
              </w:rPr>
              <w:t xml:space="preserve">Higher-traffic dukas, hardware stores, and stationers with more staff and inventory complexity</w:t>
            </w:r>
          </w:p>
        </w:tc>
      </w:tr>
      <w:tr>
        <w:tc>
          <w:tcPr>
            <w:tcW w:type="dxa" w:w="1683"/>
            <w:shd w:fill="F2F7F6" w:val="clear"/>
            <w:tcMar>
              <w:top w:type="dxa" w:w="80"/>
              <w:left w:type="dxa" w:w="100"/>
              <w:bottom w:type="dxa" w:w="80"/>
              <w:right w:type="dxa" w:w="100"/>
            </w:tcMar>
          </w:tcPr>
          <w:p>
            <w:r>
              <w:rPr>
                <w:color w:val="1A1A1A"/>
                <w:sz w:val="19"/>
                <w:szCs w:val="19"/>
              </w:rPr>
              <w:t xml:space="preserve">Established</w:t>
            </w:r>
          </w:p>
        </w:tc>
        <w:tc>
          <w:tcPr>
            <w:tcW w:type="dxa" w:w="2244"/>
            <w:shd w:fill="F2F7F6" w:val="clear"/>
            <w:tcMar>
              <w:top w:type="dxa" w:w="80"/>
              <w:left w:type="dxa" w:w="100"/>
              <w:bottom w:type="dxa" w:w="80"/>
              <w:right w:type="dxa" w:w="100"/>
            </w:tcMar>
          </w:tcPr>
          <w:p>
            <w:r>
              <w:rPr>
                <w:color w:val="1A1A1A"/>
                <w:sz w:val="19"/>
                <w:szCs w:val="19"/>
              </w:rPr>
              <w:t xml:space="preserve">KES 1,000+/month</w:t>
            </w:r>
          </w:p>
        </w:tc>
        <w:tc>
          <w:tcPr>
            <w:tcW w:type="dxa" w:w="5423"/>
            <w:shd w:fill="F2F7F6" w:val="clear"/>
            <w:tcMar>
              <w:top w:type="dxa" w:w="80"/>
              <w:left w:type="dxa" w:w="100"/>
              <w:bottom w:type="dxa" w:w="80"/>
              <w:right w:type="dxa" w:w="100"/>
            </w:tcMar>
          </w:tcPr>
          <w:p>
            <w:r>
              <w:rPr>
                <w:color w:val="1A1A1A"/>
                <w:sz w:val="19"/>
                <w:szCs w:val="19"/>
              </w:rPr>
              <w:t xml:space="preserve">Higher-volume operations where the respondent showed clear willingness to pay well above the median, likely correlating with multiple staff and daily transaction count rather than vertical alone</w:t>
            </w:r>
          </w:p>
        </w:tc>
      </w:tr>
    </w:tbl>
    <w:p>
      <w:pPr>
        <w:spacing w:after="160"/>
      </w:pPr>
    </w:p>
    <w:p>
      <w:pPr>
        <w:spacing w:after="160"/>
      </w:pPr>
      <w:r>
        <w:rPr>
          <w:i/>
          <w:iCs/>
          <w:color w:val="595959"/>
          <w:sz w:val="21"/>
          <w:szCs w:val="21"/>
        </w:rPr>
        <w:t xml:space="preserve">These tiers are a starting hypothesis, not a finished pricing page. The real test is what pilot participants actually choose to pay at pilot close, against a product they’ve used, not a pitch they’ve heard — and the plan is to let that data set the final structure rather than defend this one.</w:t>
      </w:r>
    </w:p>
    <w:p>
      <w:pPr>
        <w:pBdr>
          <w:top w:val="single" w:color="0E7C6B" w:sz="6" w:space="4"/>
          <w:bottom w:val="single" w:color="0E7C6B" w:sz="6" w:space="4"/>
          <w:left w:val="single" w:color="0E7C6B" w:sz="6" w:space="4"/>
          <w:right w:val="single" w:color="0E7C6B" w:sz="6" w:space="4"/>
        </w:pBdr>
        <w:shd w:fill="F2F7F6" w:val="clear"/>
        <w:spacing w:after="200" w:before="80"/>
      </w:pPr>
      <w:r>
        <w:rPr>
          <w:i/>
          <w:iCs/>
          <w:color w:val="1A1A1A"/>
          <w:sz w:val="20"/>
          <w:szCs w:val="20"/>
        </w:rPr>
        <w:t xml:space="preserve">This section deliberately avoids restating v1.0’s single flat price ladder — the evidence from discovery doesn’t support one number working across a duka doing a few thousand shillings a day and a hardware store doing tens of thousands.</w:t>
      </w:r>
    </w:p>
    <w:p>
      <w:pPr>
        <w:pStyle w:val="Heading1"/>
        <w:pBdr>
          <w:bottom w:val="single" w:color="0E7C6B" w:sz="12" w:space="6"/>
        </w:pBdr>
        <w:spacing w:after="200" w:before="480"/>
      </w:pPr>
      <w:r>
        <w:rPr>
          <w:b/>
          <w:bCs/>
          <w:color w:val="0E7C6B"/>
          <w:sz w:val="30"/>
          <w:szCs w:val="30"/>
        </w:rPr>
        <w:t xml:space="preserve">11. GO-TO-MARKET &amp; GROWTH STRATEGY</w:t>
      </w:r>
    </w:p>
    <w:p>
      <w:pPr>
        <w:spacing w:after="160"/>
      </w:pPr>
      <w:r>
        <w:rPr>
          <w:color w:val="1A1A1A"/>
          <w:sz w:val="21"/>
          <w:szCs w:val="21"/>
        </w:rPr>
        <w:t xml:space="preserve">Growth strategy at this stage is deliberately narrow: prove the core loop works for a single business, in a single vertical cluster, before spending on broad acquisition. This follows directly from Section 3’s "deliberately not building yet" list and from the sequencing already chosen in Section 5.</w:t>
      </w:r>
    </w:p>
    <w:p>
      <w:pPr>
        <w:pStyle w:val="Heading2"/>
        <w:spacing w:after="120" w:before="300"/>
      </w:pPr>
      <w:r>
        <w:rPr>
          <w:b/>
          <w:bCs/>
          <w:color w:val="1A1A1A"/>
          <w:sz w:val="24"/>
          <w:szCs w:val="24"/>
        </w:rPr>
        <w:t xml:space="preserve">Phase 1 — Pilot to Paid (now)</w:t>
      </w:r>
    </w:p>
    <w:p>
      <w:pPr>
        <w:pStyle w:val="ListParagraph"/>
        <w:numPr>
          <w:ilvl w:val="0"/>
          <w:numId w:val="1"/>
        </w:numPr>
        <w:spacing w:after="80"/>
      </w:pPr>
      <w:r>
        <w:rPr>
          <w:color w:val="1A1A1A"/>
          <w:sz w:val="21"/>
          <w:szCs w:val="21"/>
        </w:rPr>
        <w:t xml:space="preserve">Convert the current discovery pool and pilot cohort (Section 9) into the first paying customers at pilot close.</w:t>
      </w:r>
    </w:p>
    <w:p>
      <w:pPr>
        <w:pStyle w:val="ListParagraph"/>
        <w:numPr>
          <w:ilvl w:val="0"/>
          <w:numId w:val="1"/>
        </w:numPr>
        <w:spacing w:after="80"/>
      </w:pPr>
      <w:r>
        <w:rPr>
          <w:color w:val="1A1A1A"/>
          <w:sz w:val="21"/>
          <w:szCs w:val="21"/>
        </w:rPr>
        <w:t xml:space="preserve">Referrals surfaced directly in discovery interviews — several respondents named specific other business owners unprompted — are the first acquisition channel, at effectively zero cost.</w:t>
      </w:r>
    </w:p>
    <w:p>
      <w:pPr>
        <w:pStyle w:val="ListParagraph"/>
        <w:numPr>
          <w:ilvl w:val="0"/>
          <w:numId w:val="1"/>
        </w:numPr>
        <w:spacing w:after="80"/>
      </w:pPr>
      <w:r>
        <w:rPr>
          <w:color w:val="1A1A1A"/>
          <w:sz w:val="21"/>
          <w:szCs w:val="21"/>
        </w:rPr>
        <w:t xml:space="preserve">No paid marketing spend planned at this stage; the priority is retention and word of mouth within the interviewed verticals.</w:t>
      </w:r>
    </w:p>
    <w:p>
      <w:pPr>
        <w:pStyle w:val="Heading2"/>
        <w:spacing w:after="120" w:before="300"/>
      </w:pPr>
      <w:r>
        <w:rPr>
          <w:b/>
          <w:bCs/>
          <w:color w:val="1A1A1A"/>
          <w:sz w:val="24"/>
          <w:szCs w:val="24"/>
        </w:rPr>
        <w:t xml:space="preserve">Phase 2 — Vertical Depth (post-pilot)</w:t>
      </w:r>
    </w:p>
    <w:p>
      <w:pPr>
        <w:pStyle w:val="ListParagraph"/>
        <w:numPr>
          <w:ilvl w:val="0"/>
          <w:numId w:val="1"/>
        </w:numPr>
        <w:spacing w:after="80"/>
      </w:pPr>
      <w:r>
        <w:rPr>
          <w:color w:val="1A1A1A"/>
          <w:sz w:val="21"/>
          <w:szCs w:val="21"/>
        </w:rPr>
        <w:t xml:space="preserve">Deepen within the verticals already validated by discovery and reflected in the Phase 8 taxonomy (dukas/kiosks, hardware, boutiques, stationery, bars, wholesale, cereals/grains, salons/barbershops, auto spares/garages) rather than spreading thin across all nine at once.</w:t>
      </w:r>
    </w:p>
    <w:p>
      <w:pPr>
        <w:pStyle w:val="ListParagraph"/>
        <w:numPr>
          <w:ilvl w:val="0"/>
          <w:numId w:val="1"/>
        </w:numPr>
        <w:spacing w:after="80"/>
      </w:pPr>
      <w:r>
        <w:rPr>
          <w:color w:val="1A1A1A"/>
          <w:sz w:val="21"/>
          <w:szCs w:val="21"/>
        </w:rPr>
        <w:t xml:space="preserve">Use Phase 10’s demo-driven taxonomy refinement (Section 7) as a direct product-led growth loop: real usage sharpens the taxonomy, which makes onboarding faster for the next business in that vertical.</w:t>
      </w:r>
    </w:p>
    <w:p>
      <w:pPr>
        <w:pStyle w:val="Heading2"/>
        <w:spacing w:after="120" w:before="300"/>
      </w:pPr>
      <w:r>
        <w:rPr>
          <w:b/>
          <w:bCs/>
          <w:color w:val="1A1A1A"/>
          <w:sz w:val="24"/>
          <w:szCs w:val="24"/>
        </w:rPr>
        <w:t xml:space="preserve">Phase 3 — Regional Scale (future, not sequenced against a date)</w:t>
      </w:r>
    </w:p>
    <w:p>
      <w:pPr>
        <w:pStyle w:val="ListParagraph"/>
        <w:numPr>
          <w:ilvl w:val="0"/>
          <w:numId w:val="1"/>
        </w:numPr>
        <w:spacing w:after="80"/>
      </w:pPr>
      <w:r>
        <w:rPr>
          <w:color w:val="1A1A1A"/>
          <w:sz w:val="21"/>
          <w:szCs w:val="21"/>
        </w:rPr>
        <w:t xml:space="preserve">Expansion beyond Nairobi and eventually beyond Kenya is explicitly a later-stage goal (see Vision, Section 1), gated on proven retention and unit economics from Phases 1–2, not planned against a calendar date today.</w:t>
      </w:r>
    </w:p>
    <w:p>
      <w:pPr>
        <w:spacing w:after="160"/>
      </w:pPr>
      <w:r>
        <w:rPr>
          <w:i/>
          <w:iCs/>
          <w:color w:val="595959"/>
          <w:sz w:val="21"/>
          <w:szCs w:val="21"/>
        </w:rPr>
        <w:t xml:space="preserve">This section will be the most volatile in the plan once real pilot data lands — retention, referral rate, and which vertical converts best are all things we expect to learn rather than already know.</w:t>
      </w:r>
    </w:p>
    <w:p>
      <w:pPr>
        <w:pStyle w:val="Heading1"/>
        <w:pBdr>
          <w:bottom w:val="single" w:color="0E7C6B" w:sz="12" w:space="6"/>
        </w:pBdr>
        <w:spacing w:after="200" w:before="480"/>
      </w:pPr>
      <w:r>
        <w:rPr>
          <w:b/>
          <w:bCs/>
          <w:color w:val="0E7C6B"/>
          <w:sz w:val="30"/>
          <w:szCs w:val="30"/>
        </w:rPr>
        <w:t xml:space="preserve">12.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27"/>
        <w:gridCol w:w="5423"/>
      </w:tblGrid>
      <w:tr>
        <w:trPr>
          <w:tblHeader/>
        </w:trPr>
        <w:tc>
          <w:tcPr>
            <w:tcW w:type="dxa" w:w="3927"/>
            <w:shd w:fill="0E7C6B" w:val="clear"/>
            <w:tcMar>
              <w:top w:type="dxa" w:w="80"/>
              <w:left w:type="dxa" w:w="100"/>
              <w:bottom w:type="dxa" w:w="80"/>
              <w:right w:type="dxa" w:w="100"/>
            </w:tcMar>
          </w:tcPr>
          <w:p>
            <w:r>
              <w:rPr>
                <w:b/>
                <w:bCs/>
                <w:color w:val="FFFFFF"/>
                <w:sz w:val="19"/>
                <w:szCs w:val="19"/>
              </w:rPr>
              <w:t xml:space="preserve">Risk</w:t>
            </w:r>
          </w:p>
        </w:tc>
        <w:tc>
          <w:tcPr>
            <w:tcW w:type="dxa" w:w="5423"/>
            <w:shd w:fill="0E7C6B" w:val="clear"/>
            <w:tcMar>
              <w:top w:type="dxa" w:w="80"/>
              <w:left w:type="dxa" w:w="100"/>
              <w:bottom w:type="dxa" w:w="80"/>
              <w:right w:type="dxa" w:w="100"/>
            </w:tcMar>
          </w:tcPr>
          <w:p>
            <w:r>
              <w:rPr>
                <w:b/>
                <w:bCs/>
                <w:color w:val="FFFFFF"/>
                <w:sz w:val="19"/>
                <w:szCs w:val="19"/>
              </w:rPr>
              <w:t xml:space="preserve">Mitigation</w:t>
            </w:r>
          </w:p>
        </w:tc>
      </w:tr>
      <w:tr>
        <w:tc>
          <w:tcPr>
            <w:tcW w:type="dxa" w:w="3927"/>
            <w:tcMar>
              <w:top w:type="dxa" w:w="80"/>
              <w:left w:type="dxa" w:w="100"/>
              <w:bottom w:type="dxa" w:w="80"/>
              <w:right w:type="dxa" w:w="100"/>
            </w:tcMar>
          </w:tcPr>
          <w:p>
            <w:r>
              <w:rPr>
                <w:color w:val="1A1A1A"/>
                <w:sz w:val="19"/>
                <w:szCs w:val="19"/>
              </w:rPr>
              <w:t xml:space="preserve">Pilot retention falls short of the 70%+ Day-30 target (Section 5)</w:t>
            </w:r>
          </w:p>
        </w:tc>
        <w:tc>
          <w:tcPr>
            <w:tcW w:type="dxa" w:w="5423"/>
            <w:tcMar>
              <w:top w:type="dxa" w:w="80"/>
              <w:left w:type="dxa" w:w="100"/>
              <w:bottom w:type="dxa" w:w="80"/>
              <w:right w:type="dxa" w:w="100"/>
            </w:tcMar>
          </w:tcPr>
          <w:p>
            <w:r>
              <w:rPr>
                <w:color w:val="1A1A1A"/>
                <w:sz w:val="19"/>
                <w:szCs w:val="19"/>
              </w:rPr>
              <w:t xml:space="preserve">Small pilot cohort (5–10) allows close, hands-on support and fast iteration on whatever breaks in real use, rather than a support model that can’t keep up</w:t>
            </w:r>
          </w:p>
        </w:tc>
      </w:tr>
      <w:tr>
        <w:tc>
          <w:tcPr>
            <w:tcW w:type="dxa" w:w="3927"/>
            <w:shd w:fill="F2F7F6" w:val="clear"/>
            <w:tcMar>
              <w:top w:type="dxa" w:w="80"/>
              <w:left w:type="dxa" w:w="100"/>
              <w:bottom w:type="dxa" w:w="80"/>
              <w:right w:type="dxa" w:w="100"/>
            </w:tcMar>
          </w:tcPr>
          <w:p>
            <w:r>
              <w:rPr>
                <w:color w:val="1A1A1A"/>
                <w:sz w:val="19"/>
                <w:szCs w:val="19"/>
              </w:rPr>
              <w:t xml:space="preserve">Willingness to pay at pilot close is lower than discovery suggested</w:t>
            </w:r>
          </w:p>
        </w:tc>
        <w:tc>
          <w:tcPr>
            <w:tcW w:type="dxa" w:w="5423"/>
            <w:shd w:fill="F2F7F6" w:val="clear"/>
            <w:tcMar>
              <w:top w:type="dxa" w:w="80"/>
              <w:left w:type="dxa" w:w="100"/>
              <w:bottom w:type="dxa" w:w="80"/>
              <w:right w:type="dxa" w:w="100"/>
            </w:tcMar>
          </w:tcPr>
          <w:p>
            <w:r>
              <w:rPr>
                <w:color w:val="1A1A1A"/>
                <w:sz w:val="19"/>
                <w:szCs w:val="19"/>
              </w:rPr>
              <w:t xml:space="preserve">Pricing (Section 10) is explicitly framed as a hypothesis to be tested, not a committed number; a free/low tier is already built into the structure for price-sensitive segments discovery identified</w:t>
            </w:r>
          </w:p>
        </w:tc>
      </w:tr>
      <w:tr>
        <w:tc>
          <w:tcPr>
            <w:tcW w:type="dxa" w:w="3927"/>
            <w:tcMar>
              <w:top w:type="dxa" w:w="80"/>
              <w:left w:type="dxa" w:w="100"/>
              <w:bottom w:type="dxa" w:w="80"/>
              <w:right w:type="dxa" w:w="100"/>
            </w:tcMar>
          </w:tcPr>
          <w:p>
            <w:r>
              <w:rPr>
                <w:color w:val="1A1A1A"/>
                <w:sz w:val="19"/>
                <w:szCs w:val="19"/>
              </w:rPr>
              <w:t xml:space="preserve">Competitive pressure from more established players (Section 8), several with existing distribution or hardware</w:t>
            </w:r>
          </w:p>
        </w:tc>
        <w:tc>
          <w:tcPr>
            <w:tcW w:type="dxa" w:w="5423"/>
            <w:tcMar>
              <w:top w:type="dxa" w:w="80"/>
              <w:left w:type="dxa" w:w="100"/>
              <w:bottom w:type="dxa" w:w="80"/>
              <w:right w:type="dxa" w:w="100"/>
            </w:tcMar>
          </w:tcPr>
          <w:p>
            <w:r>
              <w:rPr>
                <w:color w:val="1A1A1A"/>
                <w:sz w:val="19"/>
                <w:szCs w:val="19"/>
              </w:rPr>
              <w:t xml:space="preserve">Compete on depth for the specific pain points discovery validated (unrecorded sales, taxonomy-driven catalog growth) rather than on breadth or hardware distribution, where incumbents have a head start</w:t>
            </w:r>
          </w:p>
        </w:tc>
      </w:tr>
      <w:tr>
        <w:tc>
          <w:tcPr>
            <w:tcW w:type="dxa" w:w="3927"/>
            <w:shd w:fill="F2F7F6" w:val="clear"/>
            <w:tcMar>
              <w:top w:type="dxa" w:w="80"/>
              <w:left w:type="dxa" w:w="100"/>
              <w:bottom w:type="dxa" w:w="80"/>
              <w:right w:type="dxa" w:w="100"/>
            </w:tcMar>
          </w:tcPr>
          <w:p>
            <w:r>
              <w:rPr>
                <w:color w:val="1A1A1A"/>
                <w:sz w:val="19"/>
                <w:szCs w:val="19"/>
              </w:rPr>
              <w:t xml:space="preserve">M-Pesa/Daraja dependency — STK push timeouts, callback delivery issues (noted in Section 7’s recent bug fixes)</w:t>
            </w:r>
          </w:p>
        </w:tc>
        <w:tc>
          <w:tcPr>
            <w:tcW w:type="dxa" w:w="5423"/>
            <w:shd w:fill="F2F7F6" w:val="clear"/>
            <w:tcMar>
              <w:top w:type="dxa" w:w="80"/>
              <w:left w:type="dxa" w:w="100"/>
              <w:bottom w:type="dxa" w:w="80"/>
              <w:right w:type="dxa" w:w="100"/>
            </w:tcMar>
          </w:tcPr>
          <w:p>
            <w:r>
              <w:rPr>
                <w:color w:val="1A1A1A"/>
                <w:sz w:val="19"/>
                <w:szCs w:val="19"/>
              </w:rPr>
              <w:t xml:space="preserve">A periodic cleanup job for orphaned pending transactions has been scoped (not yet built); manual void is already available as a fallback today</w:t>
            </w:r>
          </w:p>
        </w:tc>
      </w:tr>
      <w:tr>
        <w:tc>
          <w:tcPr>
            <w:tcW w:type="dxa" w:w="3927"/>
            <w:tcMar>
              <w:top w:type="dxa" w:w="80"/>
              <w:left w:type="dxa" w:w="100"/>
              <w:bottom w:type="dxa" w:w="80"/>
              <w:right w:type="dxa" w:w="100"/>
            </w:tcMar>
          </w:tcPr>
          <w:p>
            <w:r>
              <w:rPr>
                <w:color w:val="1A1A1A"/>
                <w:sz w:val="19"/>
                <w:szCs w:val="19"/>
              </w:rPr>
              <w:t xml:space="preserve">Team capacity — a small, informal execution group (Section 6) taking on both product build and go-to-market simultaneously</w:t>
            </w:r>
          </w:p>
        </w:tc>
        <w:tc>
          <w:tcPr>
            <w:tcW w:type="dxa" w:w="5423"/>
            <w:tcMar>
              <w:top w:type="dxa" w:w="80"/>
              <w:left w:type="dxa" w:w="100"/>
              <w:bottom w:type="dxa" w:w="80"/>
              <w:right w:type="dxa" w:w="100"/>
            </w:tcMar>
          </w:tcPr>
          <w:p>
            <w:r>
              <w:rPr>
                <w:color w:val="1A1A1A"/>
                <w:sz w:val="19"/>
                <w:szCs w:val="19"/>
              </w:rPr>
              <w:t xml:space="preserve">Deliberately sequenced roadmap (Section 7) and narrow go-to-market (Section 11) to avoid spreading the team across too many fronts at once</w:t>
            </w:r>
          </w:p>
        </w:tc>
      </w:tr>
      <w:tr>
        <w:tc>
          <w:tcPr>
            <w:tcW w:type="dxa" w:w="3927"/>
            <w:shd w:fill="F2F7F6" w:val="clear"/>
            <w:tcMar>
              <w:top w:type="dxa" w:w="80"/>
              <w:left w:type="dxa" w:w="100"/>
              <w:bottom w:type="dxa" w:w="80"/>
              <w:right w:type="dxa" w:w="100"/>
            </w:tcMar>
          </w:tcPr>
          <w:p>
            <w:r>
              <w:rPr>
                <w:color w:val="1A1A1A"/>
                <w:sz w:val="19"/>
                <w:szCs w:val="19"/>
              </w:rPr>
              <w:t xml:space="preserve">E-commerce/B2B marketplace regulatory exposure under the National Payment System Act</w:t>
            </w:r>
          </w:p>
        </w:tc>
        <w:tc>
          <w:tcPr>
            <w:tcW w:type="dxa" w:w="5423"/>
            <w:shd w:fill="F2F7F6" w:val="clear"/>
            <w:tcMar>
              <w:top w:type="dxa" w:w="80"/>
              <w:left w:type="dxa" w:w="100"/>
              <w:bottom w:type="dxa" w:w="80"/>
              <w:right w:type="dxa" w:w="100"/>
            </w:tcMar>
          </w:tcPr>
          <w:p>
            <w:r>
              <w:rPr>
                <w:color w:val="1A1A1A"/>
                <w:sz w:val="19"/>
                <w:szCs w:val="19"/>
              </w:rPr>
              <w:t xml:space="preserve">Kept as a separate, unscheduled initiative (Section 7) until the money-transmitter question is resolved — not built into the current product or pricing</w:t>
            </w:r>
          </w:p>
        </w:tc>
      </w:tr>
      <w:tr>
        <w:tc>
          <w:tcPr>
            <w:tcW w:type="dxa" w:w="3927"/>
            <w:tcMar>
              <w:top w:type="dxa" w:w="80"/>
              <w:left w:type="dxa" w:w="100"/>
              <w:bottom w:type="dxa" w:w="80"/>
              <w:right w:type="dxa" w:w="100"/>
            </w:tcMar>
          </w:tcPr>
          <w:p>
            <w:r>
              <w:rPr>
                <w:color w:val="1A1A1A"/>
                <w:sz w:val="19"/>
                <w:szCs w:val="19"/>
              </w:rPr>
              <w:t xml:space="preserve">Data security concerns raised directly by interview respondents as a precondition for payment</w:t>
            </w:r>
          </w:p>
        </w:tc>
        <w:tc>
          <w:tcPr>
            <w:tcW w:type="dxa" w:w="5423"/>
            <w:tcMar>
              <w:top w:type="dxa" w:w="80"/>
              <w:left w:type="dxa" w:w="100"/>
              <w:bottom w:type="dxa" w:w="80"/>
              <w:right w:type="dxa" w:w="100"/>
            </w:tcMar>
          </w:tcPr>
          <w:p>
            <w:r>
              <w:rPr>
                <w:color w:val="1A1A1A"/>
                <w:sz w:val="19"/>
                <w:szCs w:val="19"/>
              </w:rPr>
              <w:t xml:space="preserve">Named explicitly as a trust requirement to be addressed in pilot onboarding communication (Section 9), ahead of any paid conversion ask</w:t>
            </w:r>
          </w:p>
        </w:tc>
      </w:tr>
    </w:tbl>
    <w:p>
      <w:pPr>
        <w:pStyle w:val="Heading1"/>
        <w:pBdr>
          <w:bottom w:val="single" w:color="0E7C6B" w:sz="12" w:space="6"/>
        </w:pBdr>
        <w:spacing w:after="200" w:before="480"/>
      </w:pPr>
      <w:r>
        <w:rPr>
          <w:b/>
          <w:bCs/>
          <w:color w:val="0E7C6B"/>
          <w:sz w:val="30"/>
          <w:szCs w:val="30"/>
        </w:rPr>
        <w:t xml:space="preserve">13. FINANCIAL PROJECTIONS</w:t>
      </w:r>
    </w:p>
    <w:p>
      <w:pPr>
        <w:pBdr>
          <w:top w:val="single" w:color="0E7C6B" w:sz="6" w:space="4"/>
          <w:bottom w:val="single" w:color="0E7C6B" w:sz="6" w:space="4"/>
          <w:left w:val="single" w:color="0E7C6B" w:sz="6" w:space="4"/>
          <w:right w:val="single" w:color="0E7C6B" w:sz="6" w:space="4"/>
        </w:pBdr>
        <w:shd w:fill="F2F7F6" w:val="clear"/>
        <w:spacing w:after="200" w:before="80"/>
      </w:pPr>
      <w:r>
        <w:rPr>
          <w:i/>
          <w:iCs/>
          <w:color w:val="1A1A1A"/>
          <w:sz w:val="20"/>
          <w:szCs w:val="20"/>
        </w:rPr>
        <w:t xml:space="preserve">Everything in this section is forward-looking and explicitly marked as such. No paid customer has been billed yet — pilot conversion happens at pilot close (Section 5), not before. These figures exist to show the shape of the model, not to represent achieved or committed revenue.</w:t>
      </w:r>
    </w:p>
    <w:p>
      <w:pPr>
        <w:pStyle w:val="Heading2"/>
        <w:spacing w:after="120" w:before="300"/>
      </w:pPr>
      <w:r>
        <w:rPr>
          <w:b/>
          <w:bCs/>
          <w:color w:val="1A1A1A"/>
          <w:sz w:val="24"/>
          <w:szCs w:val="24"/>
        </w:rPr>
        <w:t xml:space="preserve">Revenue Model Recap</w:t>
      </w:r>
    </w:p>
    <w:p>
      <w:pPr>
        <w:spacing w:after="160"/>
      </w:pPr>
      <w:r>
        <w:rPr>
          <w:color w:val="1A1A1A"/>
          <w:sz w:val="21"/>
          <w:szCs w:val="21"/>
        </w:rPr>
        <w:t xml:space="preserve">Monthly subscription, tiered by vertical and traffic (Section 10). The model below uses the proposed tier structure purely to illustrate mechanics — actual mix across tiers will be set by what the pilot cohort actually chooses to pay, not assumed here.</w:t>
      </w:r>
    </w:p>
    <w:p>
      <w:pPr>
        <w:pStyle w:val="Heading2"/>
        <w:spacing w:after="120" w:before="300"/>
      </w:pPr>
      <w:r>
        <w:rPr>
          <w:b/>
          <w:bCs/>
          <w:color w:val="1A1A1A"/>
          <w:sz w:val="24"/>
          <w:szCs w:val="24"/>
        </w:rPr>
        <w:t xml:space="preserve">Illustrative Year-1 Scenario (post-pilot, hypothetical)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5610"/>
      </w:tblGrid>
      <w:tr>
        <w:trPr>
          <w:tblHeader/>
        </w:trPr>
        <w:tc>
          <w:tcPr>
            <w:tcW w:type="dxa" w:w="3740"/>
            <w:shd w:fill="0E7C6B" w:val="clear"/>
            <w:tcMar>
              <w:top w:type="dxa" w:w="80"/>
              <w:left w:type="dxa" w:w="100"/>
              <w:bottom w:type="dxa" w:w="80"/>
              <w:right w:type="dxa" w:w="100"/>
            </w:tcMar>
          </w:tcPr>
          <w:p>
            <w:r>
              <w:rPr>
                <w:b/>
                <w:bCs/>
                <w:color w:val="FFFFFF"/>
                <w:sz w:val="19"/>
                <w:szCs w:val="19"/>
              </w:rPr>
              <w:t xml:space="preserve">Assumption</w:t>
            </w:r>
          </w:p>
        </w:tc>
        <w:tc>
          <w:tcPr>
            <w:tcW w:type="dxa" w:w="5610"/>
            <w:shd w:fill="0E7C6B" w:val="clear"/>
            <w:tcMar>
              <w:top w:type="dxa" w:w="80"/>
              <w:left w:type="dxa" w:w="100"/>
              <w:bottom w:type="dxa" w:w="80"/>
              <w:right w:type="dxa" w:w="100"/>
            </w:tcMar>
          </w:tcPr>
          <w:p>
            <w:r>
              <w:rPr>
                <w:b/>
                <w:bCs/>
                <w:color w:val="FFFFFF"/>
                <w:sz w:val="19"/>
                <w:szCs w:val="19"/>
              </w:rPr>
              <w:t xml:space="preserve">Value used</w:t>
            </w:r>
          </w:p>
        </w:tc>
      </w:tr>
      <w:tr>
        <w:tc>
          <w:tcPr>
            <w:tcW w:type="dxa" w:w="3740"/>
            <w:tcMar>
              <w:top w:type="dxa" w:w="80"/>
              <w:left w:type="dxa" w:w="100"/>
              <w:bottom w:type="dxa" w:w="80"/>
              <w:right w:type="dxa" w:w="100"/>
            </w:tcMar>
          </w:tcPr>
          <w:p>
            <w:r>
              <w:rPr>
                <w:color w:val="1A1A1A"/>
                <w:sz w:val="19"/>
                <w:szCs w:val="19"/>
              </w:rPr>
              <w:t xml:space="preserve">Pilot cohort converting to paid</w:t>
            </w:r>
          </w:p>
        </w:tc>
        <w:tc>
          <w:tcPr>
            <w:tcW w:type="dxa" w:w="5610"/>
            <w:tcMar>
              <w:top w:type="dxa" w:w="80"/>
              <w:left w:type="dxa" w:w="100"/>
              <w:bottom w:type="dxa" w:w="80"/>
              <w:right w:type="dxa" w:w="100"/>
            </w:tcMar>
          </w:tcPr>
          <w:p>
            <w:r>
              <w:rPr>
                <w:color w:val="1A1A1A"/>
                <w:sz w:val="19"/>
                <w:szCs w:val="19"/>
              </w:rPr>
              <w:t xml:space="preserve">5–10 businesses (Section 9), used as the seed cohort</w:t>
            </w:r>
          </w:p>
        </w:tc>
      </w:tr>
      <w:tr>
        <w:tc>
          <w:tcPr>
            <w:tcW w:type="dxa" w:w="3740"/>
            <w:shd w:fill="F2F7F6" w:val="clear"/>
            <w:tcMar>
              <w:top w:type="dxa" w:w="80"/>
              <w:left w:type="dxa" w:w="100"/>
              <w:bottom w:type="dxa" w:w="80"/>
              <w:right w:type="dxa" w:w="100"/>
            </w:tcMar>
          </w:tcPr>
          <w:p>
            <w:r>
              <w:rPr>
                <w:color w:val="1A1A1A"/>
                <w:sz w:val="19"/>
                <w:szCs w:val="19"/>
              </w:rPr>
              <w:t xml:space="preserve">Blended average monthly price across tiers (illustrative only)</w:t>
            </w:r>
          </w:p>
        </w:tc>
        <w:tc>
          <w:tcPr>
            <w:tcW w:type="dxa" w:w="5610"/>
            <w:shd w:fill="F2F7F6" w:val="clear"/>
            <w:tcMar>
              <w:top w:type="dxa" w:w="80"/>
              <w:left w:type="dxa" w:w="100"/>
              <w:bottom w:type="dxa" w:w="80"/>
              <w:right w:type="dxa" w:w="100"/>
            </w:tcMar>
          </w:tcPr>
          <w:p>
            <w:r>
              <w:rPr>
                <w:color w:val="1A1A1A"/>
                <w:sz w:val="19"/>
                <w:szCs w:val="19"/>
              </w:rPr>
              <w:t xml:space="preserve">KES 300–400/month, taken as the rough midpoint of the Section 10 range — not a committed figure</w:t>
            </w:r>
          </w:p>
        </w:tc>
      </w:tr>
      <w:tr>
        <w:tc>
          <w:tcPr>
            <w:tcW w:type="dxa" w:w="3740"/>
            <w:tcMar>
              <w:top w:type="dxa" w:w="80"/>
              <w:left w:type="dxa" w:w="100"/>
              <w:bottom w:type="dxa" w:w="80"/>
              <w:right w:type="dxa" w:w="100"/>
            </w:tcMar>
          </w:tcPr>
          <w:p>
            <w:r>
              <w:rPr>
                <w:color w:val="1A1A1A"/>
                <w:sz w:val="19"/>
                <w:szCs w:val="19"/>
              </w:rPr>
              <w:t xml:space="preserve">Month-over-month net new customers post-pilot</w:t>
            </w:r>
          </w:p>
        </w:tc>
        <w:tc>
          <w:tcPr>
            <w:tcW w:type="dxa" w:w="5610"/>
            <w:tcMar>
              <w:top w:type="dxa" w:w="80"/>
              <w:left w:type="dxa" w:w="100"/>
              <w:bottom w:type="dxa" w:w="80"/>
              <w:right w:type="dxa" w:w="100"/>
            </w:tcMar>
          </w:tcPr>
          <w:p>
            <w:r>
              <w:rPr>
                <w:color w:val="1A1A1A"/>
                <w:sz w:val="19"/>
                <w:szCs w:val="19"/>
              </w:rPr>
              <w:t xml:space="preserve">Not modeled numerically yet — dependent on Phase 2 go-to-market (Section 11) and referral conversion, both unproven at this stage</w:t>
            </w:r>
          </w:p>
        </w:tc>
      </w:tr>
      <w:tr>
        <w:tc>
          <w:tcPr>
            <w:tcW w:type="dxa" w:w="3740"/>
            <w:shd w:fill="F2F7F6" w:val="clear"/>
            <w:tcMar>
              <w:top w:type="dxa" w:w="80"/>
              <w:left w:type="dxa" w:w="100"/>
              <w:bottom w:type="dxa" w:w="80"/>
              <w:right w:type="dxa" w:w="100"/>
            </w:tcMar>
          </w:tcPr>
          <w:p>
            <w:r>
              <w:rPr>
                <w:color w:val="1A1A1A"/>
                <w:sz w:val="19"/>
                <w:szCs w:val="19"/>
              </w:rPr>
              <w:t xml:space="preserve">Gross margin</w:t>
            </w:r>
          </w:p>
        </w:tc>
        <w:tc>
          <w:tcPr>
            <w:tcW w:type="dxa" w:w="5610"/>
            <w:shd w:fill="F2F7F6" w:val="clear"/>
            <w:tcMar>
              <w:top w:type="dxa" w:w="80"/>
              <w:left w:type="dxa" w:w="100"/>
              <w:bottom w:type="dxa" w:w="80"/>
              <w:right w:type="dxa" w:w="100"/>
            </w:tcMar>
          </w:tcPr>
          <w:p>
            <w:r>
              <w:rPr>
                <w:color w:val="1A1A1A"/>
                <w:sz w:val="19"/>
                <w:szCs w:val="19"/>
              </w:rPr>
              <w:t xml:space="preserve">Not modeled — infrastructure costs (hosting, Daraja fees, SMS/OTP costs via Africa’s Talking) have not yet been benchmarked against real transaction volume</w:t>
            </w:r>
          </w:p>
        </w:tc>
      </w:tr>
    </w:tbl>
    <w:p>
      <w:pPr>
        <w:spacing w:after="160"/>
      </w:pPr>
    </w:p>
    <w:p>
      <w:pPr>
        <w:spacing w:after="160"/>
      </w:pPr>
      <w:r>
        <w:rPr>
          <w:i/>
          <w:iCs/>
          <w:color w:val="595959"/>
          <w:sz w:val="21"/>
          <w:szCs w:val="21"/>
        </w:rPr>
        <w:t xml:space="preserve">A fuller revenue and cost model — with real churn, conversion, and infrastructure-cost figures — is planned as a direct output of the pilot, and will replace this placeholder in the next revision of this plan. We would rather leave this section thin and honest than fill it with numbers that look precise but aren’t grounded in anything real yet.</w:t>
      </w:r>
    </w:p>
    <w:p>
      <w:pPr>
        <w:pStyle w:val="Heading1"/>
        <w:pBdr>
          <w:bottom w:val="single" w:color="0E7C6B" w:sz="12" w:space="6"/>
        </w:pBdr>
        <w:spacing w:after="200" w:before="480"/>
      </w:pPr>
      <w:r>
        <w:rPr>
          <w:b/>
          <w:bCs/>
          <w:color w:val="0E7C6B"/>
          <w:sz w:val="30"/>
          <w:szCs w:val="30"/>
        </w:rPr>
        <w:t xml:space="preserve">14. ROADMAP AHEAD &amp; THE ASK</w:t>
      </w:r>
    </w:p>
    <w:p>
      <w:pPr>
        <w:pStyle w:val="Heading2"/>
        <w:spacing w:after="120" w:before="300"/>
      </w:pPr>
      <w:r>
        <w:rPr>
          <w:b/>
          <w:bCs/>
          <w:color w:val="1A1A1A"/>
          <w:sz w:val="24"/>
          <w:szCs w:val="24"/>
        </w:rPr>
        <w:t xml:space="preserve">Immediate Priorities (next 4–8 weeks)</w:t>
      </w:r>
    </w:p>
    <w:p>
      <w:pPr>
        <w:pStyle w:val="ListParagraph"/>
        <w:numPr>
          <w:ilvl w:val="0"/>
          <w:numId w:val="1"/>
        </w:numPr>
        <w:spacing w:after="80"/>
      </w:pPr>
      <w:r>
        <w:rPr>
          <w:color w:val="1A1A1A"/>
          <w:sz w:val="21"/>
          <w:szCs w:val="21"/>
        </w:rPr>
        <w:t xml:space="preserve">Run the pilot (Section 9) and instrument it closely — daily active use, feature adoption, and unprompted pricing feedback.</w:t>
      </w:r>
    </w:p>
    <w:p>
      <w:pPr>
        <w:pStyle w:val="ListParagraph"/>
        <w:numPr>
          <w:ilvl w:val="0"/>
          <w:numId w:val="1"/>
        </w:numPr>
        <w:spacing w:after="80"/>
      </w:pPr>
      <w:r>
        <w:rPr>
          <w:color w:val="1A1A1A"/>
          <w:sz w:val="21"/>
          <w:szCs w:val="21"/>
        </w:rPr>
        <w:t xml:space="preserve">Ship Phase 7 (growth/profit trend graphs) — the cheapest, most owner-visible near-term improvement to INSIGHT MODE (Section 3).</w:t>
      </w:r>
    </w:p>
    <w:p>
      <w:pPr>
        <w:pStyle w:val="ListParagraph"/>
        <w:numPr>
          <w:ilvl w:val="0"/>
          <w:numId w:val="1"/>
        </w:numPr>
        <w:spacing w:after="80"/>
      </w:pPr>
      <w:r>
        <w:rPr>
          <w:color w:val="1A1A1A"/>
          <w:sz w:val="21"/>
          <w:szCs w:val="21"/>
        </w:rPr>
        <w:t xml:space="preserve">Ship Phase 9 (sell-without-inventory + progressive catalog growth) — directly addresses the top discovery-validated loss cause, unrecorded sales (Section 2).</w:t>
      </w:r>
    </w:p>
    <w:p>
      <w:pPr>
        <w:pStyle w:val="ListParagraph"/>
        <w:numPr>
          <w:ilvl w:val="0"/>
          <w:numId w:val="1"/>
        </w:numPr>
        <w:spacing w:after="80"/>
      </w:pPr>
      <w:r>
        <w:rPr>
          <w:color w:val="1A1A1A"/>
          <w:sz w:val="21"/>
          <w:szCs w:val="21"/>
        </w:rPr>
        <w:t xml:space="preserve">Convert the pilot cohort to paying customers at pilot close and use that conversion data to finalize pricing (Section 10) and seed Section 13’s financial model with real numbers.</w:t>
      </w:r>
    </w:p>
    <w:p>
      <w:pPr>
        <w:pStyle w:val="Heading2"/>
        <w:spacing w:after="120" w:before="300"/>
      </w:pPr>
      <w:r>
        <w:rPr>
          <w:b/>
          <w:bCs/>
          <w:color w:val="1A1A1A"/>
          <w:sz w:val="24"/>
          <w:szCs w:val="24"/>
        </w:rPr>
        <w:t xml:space="preserve">What Happens After</w:t>
      </w:r>
    </w:p>
    <w:p>
      <w:pPr>
        <w:spacing w:after="160"/>
      </w:pPr>
      <w:r>
        <w:rPr>
          <w:color w:val="1A1A1A"/>
          <w:sz w:val="21"/>
          <w:szCs w:val="21"/>
        </w:rPr>
        <w:t xml:space="preserve">Phase 10’s demo-driven taxonomy refinement, Phase 11’s perishability tracking, and Phase 12’s creditor ledger (Section 7) follow in sequence, paced by what pilot and early-paid usage actually surface as most valuable — not by a fixed calendar built in advance of any real usage data.</w:t>
      </w:r>
    </w:p>
    <w:p>
      <w:pPr>
        <w:pStyle w:val="Heading2"/>
        <w:spacing w:after="120" w:before="300"/>
      </w:pPr>
      <w:r>
        <w:rPr>
          <w:b/>
          <w:bCs/>
          <w:color w:val="1A1A1A"/>
          <w:sz w:val="24"/>
          <w:szCs w:val="24"/>
        </w:rPr>
        <w:t xml:space="preserve">The Ask</w:t>
      </w:r>
    </w:p>
    <w:p>
      <w:pPr>
        <w:spacing w:after="160"/>
      </w:pPr>
      <w:r>
        <w:rPr>
          <w:color w:val="1A1A1A"/>
          <w:sz w:val="21"/>
          <w:szCs w:val="21"/>
        </w:rPr>
        <w:t xml:space="preserve">At this stage, the immediate need is not capital or headcount — it is time and focus to run the pilot well, listen closely to what it surfaces, and let that evidence (not assumption) set the next version of this plan, the same way discovery reshaped this one. Any future ask — for capital, partnerships, or hires — will be scoped once pilot data gives it a real foundation to stand on, consistent with the evidence-first approach this document tries to model throughout.</w:t>
      </w:r>
    </w:p>
    <w:p>
      <w:pPr>
        <w:pStyle w:val="Heading1"/>
        <w:pBdr>
          <w:bottom w:val="single" w:color="0E7C6B" w:sz="12" w:space="6"/>
        </w:pBdr>
        <w:spacing w:after="200" w:before="480"/>
      </w:pPr>
      <w:r>
        <w:rPr>
          <w:b/>
          <w:bCs/>
          <w:color w:val="0E7C6B"/>
          <w:sz w:val="30"/>
          <w:szCs w:val="30"/>
        </w:rPr>
        <w:t xml:space="preserve">15. APPENDIX — METHODOLOGY NOTE</w:t>
      </w:r>
    </w:p>
    <w:p>
      <w:pPr>
        <w:spacing w:after="160"/>
      </w:pPr>
      <w:r>
        <w:rPr>
          <w:color w:val="1A1A1A"/>
          <w:sz w:val="21"/>
          <w:szCs w:val="21"/>
        </w:rPr>
        <w:t xml:space="preserve">Discovery interviews referenced throughout this plan (Sections 2, 4, 5, 10) were conducted in the field starting late June 2026 using a structured, bilingual (English/Sheng/Swahili) question set, administered directly with SME owners and staff across the Duka/Kiosk, Hardware, Stationery, and Boutique verticals.</w:t>
      </w:r>
    </w:p>
    <w:p>
      <w:pPr>
        <w:spacing w:after="160"/>
      </w:pPr>
      <w:r>
        <w:rPr>
          <w:color w:val="1A1A1A"/>
          <w:sz w:val="21"/>
          <w:szCs w:val="21"/>
        </w:rPr>
        <w:t xml:space="preserve">The question set covered: business profile (type, age, staffing, ownership); sales recording method and end-of-day process; inventory tracking method and stockout experience; payment methods and M-Pesa reconciliation process; reporting wishes; loss causes; tech comfort (owner and staff); and willingness to pay, including trust requirements before paying.</w:t>
      </w:r>
    </w:p>
    <w:p>
      <w:pPr>
        <w:pBdr>
          <w:top w:val="single" w:color="0E7C6B" w:sz="6" w:space="4"/>
          <w:bottom w:val="single" w:color="0E7C6B" w:sz="6" w:space="4"/>
          <w:left w:val="single" w:color="0E7C6B" w:sz="6" w:space="4"/>
          <w:right w:val="single" w:color="0E7C6B" w:sz="6" w:space="4"/>
        </w:pBdr>
        <w:shd w:fill="F2F7F6" w:val="clear"/>
        <w:spacing w:after="200" w:before="80"/>
      </w:pPr>
      <w:r>
        <w:rPr>
          <w:i/>
          <w:iCs/>
          <w:color w:val="1A1A1A"/>
          <w:sz w:val="20"/>
          <w:szCs w:val="20"/>
        </w:rPr>
        <w:t xml:space="preserve">As noted in Section 4, this appendix and the plan built on it reflect the interview records reviewed for this version specifically. A fuller interview set may exist beyond what was reviewed here, and this document should be updated as that fuller set is consolidated and as real pilot usage data (Section 9) becomes available — this plan is written to be revised, not treated as final.</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BizYangu — Comprehensive Business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BizYangu — Comprehensive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2026-07-15T06:22:03.961Z</dcterms:created>
  <dcterms:modified xsi:type="dcterms:W3CDTF">2026-07-15T06:22:03.962Z</dcterms:modified>
</cp:coreProperties>
</file>

<file path=docProps/custom.xml><?xml version="1.0" encoding="utf-8"?>
<Properties xmlns="http://schemas.openxmlformats.org/officeDocument/2006/custom-properties" xmlns:vt="http://schemas.openxmlformats.org/officeDocument/2006/docPropsVTypes"/>
</file>