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b/>
          <w:bCs/>
          <w:color w:val="2E75B6"/>
          <w:sz w:val="20"/>
          <w:szCs w:val="20"/>
        </w:rPr>
        <w:t xml:space="preserve">DESARROLLO DE APLICACIONES II · ENTREGA PARCIAL N.º 2</w:t>
      </w:r>
    </w:p>
    <w:p>
      <w:pPr>
        <w:spacing w:after="120"/>
      </w:pPr>
      <w:r>
        <w:rPr>
          <w:b/>
          <w:bCs/>
          <w:color w:val="1F3864"/>
          <w:sz w:val="64"/>
          <w:szCs w:val="64"/>
        </w:rPr>
        <w:t xml:space="preserve">InversorAR</w:t>
      </w:r>
    </w:p>
    <w:p>
      <w:pPr>
        <w:spacing w:after="360"/>
      </w:pPr>
      <w:r>
        <w:rPr>
          <w:color w:val="1F3864"/>
          <w:sz w:val="32"/>
          <w:szCs w:val="32"/>
        </w:rPr>
        <w:t xml:space="preserve">Arquitectura de integración (SOA) y clasificación de integraciones</w:t>
      </w:r>
    </w:p>
    <w:p>
      <w:pPr>
        <w:pBdr>
          <w:bottom w:val="single" w:color="2E75B6" w:sz="12" w:space="4"/>
        </w:pBdr>
      </w:pPr>
    </w:p>
    <w:p>
      <w:pPr>
        <w:spacing w:before="240" w:after="80"/>
      </w:pPr>
      <w:r>
        <w:rPr>
          <w:b/>
          <w:bCs/>
        </w:rPr>
        <w:t xml:space="preserve">Entregables:</w:t>
      </w:r>
      <w:r>
        <w:t xml:space="preserve"> 1 (diagrama de arquitectura de integración) y 2 (clasificación justificada de cada integración externa)</w:t>
      </w:r>
    </w:p>
    <w:p>
      <w:pPr>
        <w:spacing w:after="80"/>
      </w:pPr>
      <w:r>
        <w:rPr>
          <w:b/>
          <w:bCs/>
        </w:rPr>
        <w:t xml:space="preserve">Unidades:</w:t>
      </w:r>
      <w:r>
        <w:t xml:space="preserve"> IV (integración, tipos y SOA) y V (mensajería asincrónica)</w:t>
      </w:r>
    </w:p>
    <w:p>
      <w:pPr>
        <w:spacing w:after="80"/>
      </w:pPr>
      <w:r>
        <w:rPr>
          <w:b/>
          <w:bCs/>
        </w:rPr>
        <w:t xml:space="preserve">Fecha:</w:t>
      </w:r>
      <w:r>
        <w:t xml:space="preserve"> 17/10/2026 · Checkpoint: 19/10/2026</w:t>
      </w:r>
    </w:p>
    <w:p>
      <w:pPr>
        <w:spacing w:after="80"/>
      </w:pPr>
      <w:r>
        <w:rPr>
          <w:b/>
          <w:bCs/>
        </w:rPr>
        <w:t xml:space="preserve">Estado:</w:t>
      </w:r>
      <w:r>
        <w:t xml:space="preserve"> propuesta del equipo</w:t>
      </w:r>
    </w:p>
    <w:p>
      <w:r>
        <w:br w:type="page"/>
      </w:r>
    </w:p>
    <w:p>
      <w:pPr>
        <w:pStyle w:val="Heading1"/>
      </w:pPr>
      <w:r>
        <w:t xml:space="preserve">1. Diagrama de arquitectura de integración</w:t>
      </w:r>
    </w:p>
    <w:p>
      <w:pPr>
        <w:spacing w:after="120"/>
      </w:pPr>
      <w:r>
        <w:t xml:space="preserve">InversorAR corre en WildFly 41 en modo full, con el broker ActiveMQ Artemis embebido. Hacia adentro, la presentación llama a los componentes de negocio por EJB local, y las órdenes viajan por una </w:t>
      </w:r>
      <w:r>
        <w:rPr>
          <w:b/>
          <w:bCs/>
        </w:rPr>
        <w:t xml:space="preserve">cola punto a punto</w:t>
      </w:r>
      <w:r>
        <w:t xml:space="preserve"> hasta el Ejecutor. Hacia afuera, se integra con cinco sistemas externos: tres de forma </w:t>
      </w:r>
      <w:r>
        <w:rPr>
          <w:b/>
          <w:bCs/>
        </w:rPr>
        <w:t xml:space="preserve">síncrona</w:t>
      </w:r>
      <w:r>
        <w:t xml:space="preserve"> (SOAP o REST) y dos de forma </w:t>
      </w:r>
      <w:r>
        <w:rPr>
          <w:b/>
          <w:bCs/>
        </w:rPr>
        <w:t xml:space="preserve">asincrónica</w:t>
      </w:r>
      <w:r>
        <w:t xml:space="preserve"> (tópico).</w:t>
      </w:r>
    </w:p>
    <w:p>
      <w:pPr>
        <w:spacing w:before="120" w:after="80"/>
        <w:jc w:val="center"/>
      </w:pPr>
      <w:r>
        <w:drawing>
          <wp:inline distT="0" distB="0" distL="0" distR="0">
            <wp:extent cx="60960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1. Componentes internos, broker, base de datos y sistemas externos, con el canal de cada conexión.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Borde lleno:</w:t>
      </w:r>
      <w:r>
        <w:t xml:space="preserve"> existe o se construye en esta entrega. </w:t>
      </w:r>
      <w:r>
        <w:rPr>
          <w:b/>
          <w:bCs/>
        </w:rPr>
        <w:t xml:space="preserve">Borde punteado:</w:t>
      </w:r>
      <w:r>
        <w:t xml:space="preserve"> sistema o destino planificado.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Naranja:</w:t>
      </w:r>
      <w:r>
        <w:t xml:space="preserve"> mensajería asincrónica (cola o tópico). </w:t>
      </w:r>
      <w:r>
        <w:rPr>
          <w:b/>
          <w:bCs/>
        </w:rPr>
        <w:t xml:space="preserve">Azul:</w:t>
      </w:r>
      <w:r>
        <w:t xml:space="preserve"> llamadas síncronas (EJB, HTTP, SOAP, REST). </w:t>
      </w:r>
      <w:r>
        <w:rPr>
          <w:b/>
          <w:bCs/>
        </w:rPr>
        <w:t xml:space="preserve">Verde:</w:t>
      </w:r>
      <w:r>
        <w:t xml:space="preserve"> base de datos. </w:t>
      </w:r>
      <w:r>
        <w:rPr>
          <w:b/>
          <w:bCs/>
        </w:rPr>
        <w:t xml:space="preserve">Rojo:</w:t>
      </w:r>
      <w:r>
        <w:t xml:space="preserve"> fallas técnicas hacia la DLQ.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flujo de órdenes (cola, Ejecutor, DLQ) está detallado en el documento «Diseño del flujo asincrónico».</w:t>
      </w:r>
    </w:p>
    <w:p>
      <w:pPr>
        <w:pStyle w:val="Heading1"/>
      </w:pPr>
      <w:r>
        <w:t xml:space="preserve">2. Componentes internos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38"/>
        <w:gridCol w:w="2800"/>
      </w:tblGrid>
      <w:tr>
        <w:trPr>
          <w:cantSplit/>
          <w:tblHeader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48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Responsabilidad</w:t>
            </w:r>
          </w:p>
        </w:tc>
        <w:tc>
          <w:tcPr>
            <w:tcW w:type="dxa" w:w="2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Presentación</w:t>
            </w:r>
          </w:p>
        </w:tc>
        <w:tc>
          <w:tcPr>
            <w:tcW w:type="dxa" w:w="48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Pantallas del dashboard y API que consume el navegador</w:t>
            </w:r>
          </w:p>
        </w:tc>
        <w:tc>
          <w:tcPr>
            <w:tcW w:type="dxa" w:w="2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JSP/JS · JAX-RS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Compra / Venta</w:t>
            </w:r>
          </w:p>
        </w:tc>
        <w:tc>
          <w:tcPr>
            <w:tcW w:type="dxa" w:w="48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Valida la orden, la registra PENDIENTE y la envía a la cola</w:t>
            </w:r>
          </w:p>
        </w:tc>
        <w:tc>
          <w:tcPr>
            <w:tcW w:type="dxa" w:w="2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EJB @Stateless · productor JMS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Portfolio</w:t>
            </w:r>
          </w:p>
        </w:tc>
        <w:tc>
          <w:tcPr>
            <w:tcW w:type="dxa" w:w="48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Consolida las operaciones y calcula posiciones y rendimiento</w:t>
            </w:r>
          </w:p>
        </w:tc>
        <w:tc>
          <w:tcPr>
            <w:tcW w:type="dxa" w:w="2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EJB @Stateful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Usuarios / Login</w:t>
            </w:r>
          </w:p>
        </w:tc>
        <w:tc>
          <w:tcPr>
            <w:tcW w:type="dxa" w:w="48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Registro, inicio de sesión y rol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Jakarta Security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Cotización</w:t>
            </w:r>
          </w:p>
        </w:tc>
        <w:tc>
          <w:tcPr>
            <w:tcW w:type="dxa" w:w="48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Obtiene el precio de cada instrumento</w:t>
            </w:r>
          </w:p>
        </w:tc>
        <w:tc>
          <w:tcPr>
            <w:tcW w:type="dxa" w:w="2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Strategy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CotizacionStrategy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Broker</w:t>
            </w:r>
          </w:p>
        </w:tc>
        <w:tc>
          <w:tcPr>
            <w:tcW w:type="dxa" w:w="48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Cola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ordenes</w:t>
            </w:r>
            <w:r>
              <w:t xml:space="preserve">, cola de errores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DLQ.ordenes</w:t>
            </w:r>
            <w:r>
              <w:t xml:space="preserve"> y, planificado, tópico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operaciones</w:t>
            </w:r>
          </w:p>
        </w:tc>
        <w:tc>
          <w:tcPr>
            <w:tcW w:type="dxa" w:w="2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ActiveMQ Artemis (embebido)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Ejecutor de órdenes</w:t>
            </w:r>
          </w:p>
        </w:tc>
        <w:tc>
          <w:tcPr>
            <w:tcW w:type="dxa" w:w="48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Consume la cola de a un mensaje y crea la operación o rechaza la orden</w:t>
            </w:r>
          </w:p>
        </w:tc>
        <w:tc>
          <w:tcPr>
            <w:tcW w:type="dxa" w:w="2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MDB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MDB de la DLQ</w:t>
            </w:r>
          </w:p>
        </w:tc>
        <w:tc>
          <w:tcPr>
            <w:tcW w:type="dxa" w:w="48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Marca en ERROR las órdenes que agotaron sus reintentos</w:t>
            </w:r>
          </w:p>
        </w:tc>
        <w:tc>
          <w:tcPr>
            <w:tcW w:type="dxa" w:w="2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MDB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Repositorios</w:t>
            </w:r>
          </w:p>
        </w:tc>
        <w:tc>
          <w:tcPr>
            <w:tcW w:type="dxa" w:w="48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Acceso a datos de órdenes, operaciones, portfolios y usuarios</w:t>
            </w:r>
          </w:p>
        </w:tc>
        <w:tc>
          <w:tcPr>
            <w:tcW w:type="dxa" w:w="2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JPA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MySQL</w:t>
            </w:r>
          </w:p>
        </w:tc>
        <w:tc>
          <w:tcPr>
            <w:tcW w:type="dxa" w:w="48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Base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instrumentos</w:t>
            </w:r>
            <w:r>
              <w:t xml:space="preserve">: catálogo, usuarios, órdenes y operaciones</w:t>
            </w:r>
          </w:p>
        </w:tc>
        <w:tc>
          <w:tcPr>
            <w:tcW w:type="dxa" w:w="2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MySQL 8 · JDBC (JTA)</w:t>
            </w:r>
          </w:p>
        </w:tc>
      </w:tr>
    </w:tbl>
    <w:p>
      <w:pPr>
        <w:pStyle w:val="Heading1"/>
      </w:pPr>
      <w:r>
        <w:t xml:space="preserve">3. Clasificación de las integraciones</w:t>
      </w:r>
    </w:p>
    <w:p>
      <w:pPr>
        <w:spacing w:after="120"/>
      </w:pPr>
      <w:r>
        <w:t xml:space="preserve">Cada integración se clasificó con los criterios de la Clase 9: </w:t>
      </w:r>
      <w:r>
        <w:rPr>
          <w:b/>
          <w:bCs/>
        </w:rPr>
        <w:t xml:space="preserve">síncrona</w:t>
      </w:r>
      <w:r>
        <w:t xml:space="preserve"> cuando el proceso no puede avanzar sin la respuesta o el usuario la espera en pantalla; </w:t>
      </w:r>
      <w:r>
        <w:rPr>
          <w:b/>
          <w:bCs/>
        </w:rPr>
        <w:t xml:space="preserve">asincrónica</w:t>
      </w:r>
      <w:r>
        <w:t xml:space="preserve"> cuando la operación puede demorar, el receptor puede no estar disponible o hay varios interesados en el mismo evento.</w:t>
      </w:r>
    </w:p>
    <w:p>
      <w:pPr>
        <w:pStyle w:val="Heading2"/>
      </w:pPr>
      <w:r>
        <w:t xml:space="preserve">3.1 Integraciones externas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3738"/>
        <w:gridCol w:w="160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Sistema externo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7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Justificación</w:t>
            </w:r>
          </w:p>
        </w:tc>
        <w:tc>
          <w:tcPr>
            <w:tcW w:type="dxa" w:w="1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Proveedor de cotizaciones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REST, consultado periódicamente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Síncrona por lotes</w:t>
            </w:r>
            <w:r>
              <w:t xml:space="preserve"> (tarea programada)</w:t>
            </w:r>
          </w:p>
        </w:tc>
        <w:tc>
          <w:tcPr>
            <w:tcW w:type="dxa" w:w="37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Una tarea programada consulta al proveedor cada cierto tiempo y actualiza en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precios</w:t>
            </w:r>
            <w:r>
              <w:t xml:space="preserve"> la fila del día de cada instrumento; al cambiar el día queda como cierre. La pantalla lee de la base y nunca espera al proveedor; si el proveedor no responde, se sigue mostrando el último precio guardado.</w:t>
            </w:r>
          </w:p>
        </w:tc>
        <w:tc>
          <w:tcPr>
            <w:tcW w:type="dxa" w:w="1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 desarrollo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Banco / custodia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SOAP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Síncrona</w:t>
            </w:r>
          </w:p>
        </w:tc>
        <w:tc>
          <w:tcPr>
            <w:tcW w:type="dxa" w:w="37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Una orden no puede aceptarse sin confirmar que hay fondos: el proceso necesita la respuesta en el momento. Sistema bancario con contrato formal (WSDL).</w:t>
            </w:r>
          </w:p>
        </w:tc>
        <w:tc>
          <w:tcPr>
            <w:tcW w:type="dxa" w:w="1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Planificado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Mercado / ALyC (legado)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SOAP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Síncrona</w:t>
            </w:r>
            <w:r>
              <w:t xml:space="preserve">, llamada desde el Ejecutor</w:t>
            </w:r>
          </w:p>
        </w:tc>
        <w:tc>
          <w:tcPr>
            <w:tcW w:type="dxa" w:w="37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Sistema legado con WSDL. La llamada es síncrona, pero ocurre del lado asincrónico de la cola: el usuario no la espera, y si el mercado no responde actúan los reintentos y la DLQ.</w:t>
            </w:r>
          </w:p>
        </w:tc>
        <w:tc>
          <w:tcPr>
            <w:tcW w:type="dxa" w:w="1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Entrega 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Servicio de notificaciones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Tópico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operaciones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Asincrónica</w:t>
            </w:r>
          </w:p>
        </w:tc>
        <w:tc>
          <w:tcPr>
            <w:tcW w:type="dxa" w:w="37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El usuario no espera el mail, la demora es tolerable y puede haber varios interesados en el mismo evento «operación completada».</w:t>
            </w:r>
          </w:p>
        </w:tc>
        <w:tc>
          <w:tcPr>
            <w:tcW w:type="dxa" w:w="1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Planificado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Regulador / auditoría externa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Tópico, suscripción durable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Asincrónica</w:t>
            </w:r>
          </w:p>
        </w:tc>
        <w:tc>
          <w:tcPr>
            <w:tcW w:type="dxa" w:w="37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Ningún evento puede perderse aunque el receptor esté caído (por eso la suscripción es durable), pero no es urgente.</w:t>
            </w:r>
          </w:p>
        </w:tc>
        <w:tc>
          <w:tcPr>
            <w:tcW w:type="dxa" w:w="1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Planificado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Integración interna implementada en esta 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3738"/>
        <w:gridCol w:w="160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Integración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7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Justificación</w:t>
            </w:r>
          </w:p>
        </w:tc>
        <w:tc>
          <w:tcPr>
            <w:tcW w:type="dxa" w:w="1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Compra / Venta → Ejecutor de órdenes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Cola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ordenes</w:t>
            </w:r>
            <w:r>
              <w:t xml:space="preserve"> (punto a punto)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Asincrónica</w:t>
            </w:r>
          </w:p>
        </w:tc>
        <w:tc>
          <w:tcPr>
            <w:tcW w:type="dxa" w:w="37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Cada orden debe ejecutarse una sola vez, por un único consumidor. La cola desacopla la aceptación de la ejecución, absorbe picos y retiene la orden si el Ejecutor falla.</w:t>
            </w:r>
          </w:p>
        </w:tc>
        <w:tc>
          <w:tcPr>
            <w:tcW w:type="dxa" w:w="1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Esta entrega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Cola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ordenes</w:t>
            </w:r>
            <w:r>
              <w:t xml:space="preserve"> → MDB de la DLQ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Cola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DLQ.ordenes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Asincrónica</w:t>
            </w:r>
          </w:p>
        </w:tc>
        <w:tc>
          <w:tcPr>
            <w:tcW w:type="dxa" w:w="37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Las órdenes que fallan 3 veces no traban la cola: se apartan y se marcan ERROR para que el usuario las reintente o descarte.</w:t>
            </w:r>
          </w:p>
        </w:tc>
        <w:tc>
          <w:tcPr>
            <w:tcW w:type="dxa" w:w="1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Esta entrega</w:t>
            </w:r>
          </w:p>
        </w:tc>
      </w:tr>
    </w:tbl>
    <w:p>
      <w:pPr>
        <w:pStyle w:val="Heading1"/>
      </w:pPr>
      <w:r>
        <w:t xml:space="preserve">4. Qué existe y qué se agrega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70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Integraciones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Existe hoy</w:t>
            </w:r>
          </w:p>
        </w:tc>
        <w:tc>
          <w:tcPr>
            <w:tcW w:type="dxa" w:w="70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Navegador ↔ app por HTTP/JSON · componentes por EJB local · MySQL por JDBC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Esta entrega (19/10)</w:t>
            </w:r>
          </w:p>
        </w:tc>
        <w:tc>
          <w:tcPr>
            <w:tcW w:type="dxa" w:w="70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Cola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ordenes</w:t>
            </w:r>
            <w:r>
              <w:t xml:space="preserve"> con su Ejecutor ·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DLQ.ordenes</w:t>
            </w:r>
            <w:r>
              <w:t xml:space="preserve"> con su MDB · broker Artemis configurado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En desarrollo</w:t>
            </w:r>
          </w:p>
        </w:tc>
        <w:tc>
          <w:tcPr>
            <w:tcW w:type="dxa" w:w="70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Proveedor de cotizaciones: REST consultado periódicamente por una tarea programada, a cargo de un integrante del equipo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Entrega 4 (09/11)</w:t>
            </w:r>
          </w:p>
        </w:tc>
        <w:tc>
          <w:tcPr>
            <w:tcW w:type="dxa" w:w="70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Mercado / ALyC legado por SOAP (simulado con un servicio JAX-WS propio) y REST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Planificado</w:t>
            </w:r>
          </w:p>
        </w:tc>
        <w:tc>
          <w:tcPr>
            <w:tcW w:type="dxa" w:w="70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Banco / custodia (SOAP) · tópico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operaciones</w:t>
            </w:r>
            <w:r>
              <w:t xml:space="preserve"> con notificaciones y auditoría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8"/>
        <w:szCs w:val="18"/>
      </w:rPr>
      <w:t xml:space="preserve">InversorAR · Arquitectura de integración (SOA) ·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7344f3a1ae3e2230b5990b7dfb38e641431c201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InversorAR — Arquitectura de integración (SOA)</dc:title>
  <dc:creator>InversorAR</dc:creator>
  <cp:lastModifiedBy>Un-named</cp:lastModifiedBy>
  <cp:revision>1</cp:revision>
  <dcterms:created xsi:type="dcterms:W3CDTF">2026-10-19T02:06:04.236Z</dcterms:created>
  <dcterms:modified xsi:type="dcterms:W3CDTF">2026-10-19T02:06:04.238Z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