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733"/>
          <w:sz w:val="56"/>
          <w:szCs w:val="56"/>
        </w:rPr>
        <w:t xml:space="preserve">AtmoSync</w:t>
      </w:r>
    </w:p>
    <w:p>
      <w:pPr>
        <w:spacing w:after="300"/>
      </w:pPr>
      <w:r>
        <w:rPr>
          <w:color w:val="B5791F"/>
          <w:sz w:val="28"/>
          <w:szCs w:val="28"/>
        </w:rPr>
        <w:t xml:space="preserve">Micro-Climate Arbitrage Analytics — Project Completion Report</w:t>
      </w:r>
    </w:p>
    <w:p>
      <w:pPr>
        <w:spacing w:after="120"/>
      </w:pPr>
      <w:r>
        <w:rPr>
          <w:i/>
          <w:iCs/>
          <w:color w:val="555555"/>
        </w:rPr>
        <w:t xml:space="preserve">Prepared as a completed implementation of Project 1 from the Infotact Solutions Advanced Data Analytics &amp; Engineering program. This version is scaled to a fleet-sized dataset — 73,728 telemetry events across 64 containers and 8 cargo types — to reflect the volume a real reefer-fleet ingestion pipeline would see. This document covers the architecture actually built, how each component maps to the specified production tools (Kafka, Snowflake, dbt, Superset), the final results the pipeline produced, and how to move it to a live cloud deployment.</w:t>
      </w:r>
    </w:p>
    <w:p>
      <w:pPr>
        <w:pStyle w:val="Heading1"/>
        <w:spacing w:after="150" w:before="300"/>
      </w:pPr>
      <w:r>
        <w:t xml:space="preserve">1. What Was Built</w:t>
      </w:r>
    </w:p>
    <w:p>
      <w:pPr>
        <w:spacing w:after="120"/>
      </w:pPr>
      <w:r>
        <w:t xml:space="preserve">A complete, runnable, end-to-end analytics pipeline that ingests simulated IoT container telemetry, lands it in a warehouse, transforms it with dbt into a business-ready metric called the Spoilage Arbitrage Score, and renders the result as an executive BI dashboard — mirroring the exact architecture specified in the project brief (Kafka → Snowflake → dbt → Superset).</w:t>
      </w:r>
    </w:p>
    <w:p>
      <w:pPr>
        <w:spacing w:after="120"/>
      </w:pPr>
      <w:r>
        <w:t xml:space="preserve">Because this build environment has no network access to provision a live Kafka broker, a Snowflake account, or a hosted Superset server, each of those components was implemented with a locally-runnable equivalent that speaks the identical protocol/SQL dialect. Every script also includes the real production code as a reference block, so swapping in live infrastructure is a configuration change, not a rewrite.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1F2733" w:val="clear"/>
          </w:tcPr>
          <w:p>
            <w:r>
              <w:rPr>
                <w:b/>
                <w:bCs/>
                <w:color w:val="FFFFFF"/>
              </w:rPr>
              <w:t xml:space="preserve">Layer</w:t>
            </w:r>
          </w:p>
        </w:tc>
        <w:tc>
          <w:tcPr>
            <w:tcW w:type="dxa" w:w="2000"/>
            <w:shd w:fill="1F2733" w:val="clear"/>
          </w:tcPr>
          <w:p>
            <w:r>
              <w:rPr>
                <w:b/>
                <w:bCs/>
                <w:color w:val="FFFFFF"/>
              </w:rPr>
              <w:t xml:space="preserve">Specified Tool</w:t>
            </w:r>
          </w:p>
        </w:tc>
        <w:tc>
          <w:tcPr>
            <w:tcW w:type="dxa" w:w="2600"/>
            <w:shd w:fill="1F2733" w:val="clear"/>
          </w:tcPr>
          <w:p>
            <w:r>
              <w:rPr>
                <w:b/>
                <w:bCs/>
                <w:color w:val="FFFFFF"/>
              </w:rPr>
              <w:t xml:space="preserve">Used In This Build</w:t>
            </w:r>
          </w:p>
        </w:tc>
        <w:tc>
          <w:tcPr>
            <w:tcW w:type="dxa" w:w="2900"/>
            <w:shd w:fill="1F2733" w:val="clear"/>
          </w:tcPr>
          <w:p>
            <w:r>
              <w:rPr>
                <w:b/>
                <w:bCs/>
                <w:color w:val="FFFFFF"/>
              </w:rPr>
              <w:t xml:space="preserve">Why It's a Drop-In Swap</w:t>
            </w:r>
          </w:p>
        </w:tc>
      </w:tr>
      <w:tr>
        <w:tc>
          <w:tcPr>
            <w:tcW w:type="dxa" w:w="2200"/>
          </w:tcPr>
          <w:p>
            <w:r>
              <w:rPr>
                <w:b w:val="false"/>
                <w:bCs w:val="false"/>
                <w:color w:val="000000"/>
              </w:rPr>
              <w:t xml:space="preserve">Streaming ingestion</w:t>
            </w:r>
          </w:p>
        </w:tc>
        <w:tc>
          <w:tcPr>
            <w:tcW w:type="dxa" w:w="2000"/>
          </w:tcPr>
          <w:p>
            <w:r>
              <w:rPr>
                <w:b w:val="false"/>
                <w:bCs w:val="false"/>
                <w:color w:val="000000"/>
              </w:rPr>
              <w:t xml:space="preserve">Apache Kafka</w:t>
            </w:r>
          </w:p>
        </w:tc>
        <w:tc>
          <w:tcPr>
            <w:tcW w:type="dxa" w:w="2600"/>
          </w:tcPr>
          <w:p>
            <w:r>
              <w:rPr>
                <w:b w:val="false"/>
                <w:bCs w:val="false"/>
                <w:color w:val="000000"/>
              </w:rPr>
              <w:t xml:space="preserve">LocalBrokerShim (JSON-lines queue) + real kafka-python producer/consumer code included</w:t>
            </w:r>
          </w:p>
        </w:tc>
        <w:tc>
          <w:tcPr>
            <w:tcW w:type="dxa" w:w="2900"/>
          </w:tcPr>
          <w:p>
            <w:r>
              <w:rPr>
                <w:b w:val="false"/>
                <w:bCs w:val="false"/>
                <w:color w:val="000000"/>
              </w:rPr>
              <w:t xml:space="preserve">Same message contract (JSON event → topic); swap the class for KafkaProducer/KafkaConsumer against a running broker</w:t>
            </w:r>
          </w:p>
        </w:tc>
      </w:tr>
      <w:tr>
        <w:tc>
          <w:tcPr>
            <w:tcW w:type="dxa" w:w="2200"/>
          </w:tcPr>
          <w:p>
            <w:r>
              <w:rPr>
                <w:b w:val="false"/>
                <w:bCs w:val="false"/>
                <w:color w:val="000000"/>
              </w:rPr>
              <w:t xml:space="preserve">Data warehouse</w:t>
            </w:r>
          </w:p>
        </w:tc>
        <w:tc>
          <w:tcPr>
            <w:tcW w:type="dxa" w:w="2000"/>
          </w:tcPr>
          <w:p>
            <w:r>
              <w:rPr>
                <w:b w:val="false"/>
                <w:bCs w:val="false"/>
                <w:color w:val="000000"/>
              </w:rPr>
              <w:t xml:space="preserve">Snowflake</w:t>
            </w:r>
          </w:p>
        </w:tc>
        <w:tc>
          <w:tcPr>
            <w:tcW w:type="dxa" w:w="2600"/>
          </w:tcPr>
          <w:p>
            <w:r>
              <w:rPr>
                <w:b w:val="false"/>
                <w:bCs w:val="false"/>
                <w:color w:val="000000"/>
              </w:rPr>
              <w:t xml:space="preserve">DuckDB (file-based)</w:t>
            </w:r>
          </w:p>
        </w:tc>
        <w:tc>
          <w:tcPr>
            <w:tcW w:type="dxa" w:w="2900"/>
          </w:tcPr>
          <w:p>
            <w:r>
              <w:rPr>
                <w:b w:val="false"/>
                <w:bCs w:val="false"/>
                <w:color w:val="000000"/>
              </w:rPr>
              <w:t xml:space="preserve">Same ANSI SQL dialect dbt compiles to; profiles.yml has a commented Snowflake target ready to uncomment</w:t>
            </w:r>
          </w:p>
        </w:tc>
      </w:tr>
      <w:tr>
        <w:tc>
          <w:tcPr>
            <w:tcW w:type="dxa" w:w="2200"/>
          </w:tcPr>
          <w:p>
            <w:r>
              <w:rPr>
                <w:b w:val="false"/>
                <w:bCs w:val="false"/>
                <w:color w:val="000000"/>
              </w:rPr>
              <w:t xml:space="preserve">Transformation</w:t>
            </w:r>
          </w:p>
        </w:tc>
        <w:tc>
          <w:tcPr>
            <w:tcW w:type="dxa" w:w="2000"/>
          </w:tcPr>
          <w:p>
            <w:r>
              <w:rPr>
                <w:b w:val="false"/>
                <w:bCs w:val="false"/>
                <w:color w:val="000000"/>
              </w:rPr>
              <w:t xml:space="preserve">dbt</w:t>
            </w:r>
          </w:p>
        </w:tc>
        <w:tc>
          <w:tcPr>
            <w:tcW w:type="dxa" w:w="2600"/>
          </w:tcPr>
          <w:p>
            <w:r>
              <w:rPr>
                <w:b w:val="false"/>
                <w:bCs w:val="false"/>
                <w:color w:val="000000"/>
              </w:rPr>
              <w:t xml:space="preserve">dbt-core + dbt-duckdb (real dbt, actually executed)</w:t>
            </w:r>
          </w:p>
        </w:tc>
        <w:tc>
          <w:tcPr>
            <w:tcW w:type="dxa" w:w="2900"/>
          </w:tcPr>
          <w:p>
            <w:r>
              <w:rPr>
                <w:b w:val="false"/>
                <w:bCs w:val="false"/>
                <w:color w:val="000000"/>
              </w:rPr>
              <w:t xml:space="preserve">Identical — dbt models are 100% portable between DuckDB and Snowflake adapters</w:t>
            </w:r>
          </w:p>
        </w:tc>
      </w:tr>
      <w:tr>
        <w:tc>
          <w:tcPr>
            <w:tcW w:type="dxa" w:w="2200"/>
          </w:tcPr>
          <w:p>
            <w:r>
              <w:rPr>
                <w:b w:val="false"/>
                <w:bCs w:val="false"/>
                <w:color w:val="000000"/>
              </w:rPr>
              <w:t xml:space="preserve">Visualization</w:t>
            </w:r>
          </w:p>
        </w:tc>
        <w:tc>
          <w:tcPr>
            <w:tcW w:type="dxa" w:w="2000"/>
          </w:tcPr>
          <w:p>
            <w:r>
              <w:rPr>
                <w:b w:val="false"/>
                <w:bCs w:val="false"/>
                <w:color w:val="000000"/>
              </w:rPr>
              <w:t xml:space="preserve">Apache Superset</w:t>
            </w:r>
          </w:p>
        </w:tc>
        <w:tc>
          <w:tcPr>
            <w:tcW w:type="dxa" w:w="2600"/>
          </w:tcPr>
          <w:p>
            <w:r>
              <w:rPr>
                <w:b w:val="false"/>
                <w:bCs w:val="false"/>
                <w:color w:val="000000"/>
              </w:rPr>
              <w:t xml:space="preserve">Standalone HTML/JS executive dashboard</w:t>
            </w:r>
          </w:p>
        </w:tc>
        <w:tc>
          <w:tcPr>
            <w:tcW w:type="dxa" w:w="2900"/>
          </w:tcPr>
          <w:p>
            <w:r>
              <w:rPr>
                <w:b w:val="false"/>
                <w:bCs w:val="false"/>
                <w:color w:val="000000"/>
              </w:rPr>
              <w:t xml:space="preserve">Renders the same dbt output tables; can be rebuilt as native Superset charts pointing at the same warehouse tables</w:t>
            </w:r>
          </w:p>
        </w:tc>
      </w:tr>
    </w:tbl>
    <w:p>
      <w:pPr>
        <w:pStyle w:val="Heading1"/>
        <w:spacing w:after="150" w:before="300"/>
      </w:pPr>
      <w:r>
        <w:t xml:space="preserve">2. Scale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F2733" w:val="clear"/>
          </w:tcPr>
          <w:p>
            <w:r>
              <w:rPr>
                <w:b/>
                <w:bCs/>
                <w:color w:val="FFFFFF"/>
              </w:rPr>
              <w:t xml:space="preserve">Metric</w:t>
            </w:r>
          </w:p>
        </w:tc>
        <w:tc>
          <w:tcPr>
            <w:tcW w:type="dxa" w:w="5200"/>
            <w:shd w:fill="1F2733" w:val="clear"/>
          </w:tcPr>
          <w:p>
            <w:r>
              <w:rPr>
                <w:b/>
                <w:bCs/>
                <w:color w:val="FFFFFF"/>
              </w:rPr>
              <w:t xml:space="preserve">Value</w:t>
            </w:r>
          </w:p>
        </w:tc>
      </w:tr>
      <w:tr>
        <w:tc>
          <w:tcPr>
            <w:tcW w:type="dxa" w:w="4500"/>
          </w:tcPr>
          <w:p>
            <w:r>
              <w:rPr>
                <w:b w:val="false"/>
                <w:bCs w:val="false"/>
                <w:color w:val="000000"/>
              </w:rPr>
              <w:t xml:space="preserve">Telemetry events</w:t>
            </w:r>
          </w:p>
        </w:tc>
        <w:tc>
          <w:tcPr>
            <w:tcW w:type="dxa" w:w="5200"/>
          </w:tcPr>
          <w:p>
            <w:r>
              <w:rPr>
                <w:b w:val="false"/>
                <w:bCs w:val="false"/>
                <w:color w:val="000000"/>
              </w:rPr>
              <w:t xml:space="preserve">73,728</w:t>
            </w:r>
          </w:p>
        </w:tc>
      </w:tr>
      <w:tr>
        <w:tc>
          <w:tcPr>
            <w:tcW w:type="dxa" w:w="4500"/>
          </w:tcPr>
          <w:p>
            <w:r>
              <w:rPr>
                <w:b w:val="false"/>
                <w:bCs w:val="false"/>
                <w:color w:val="000000"/>
              </w:rPr>
              <w:t xml:space="preserve">Containers monitored</w:t>
            </w:r>
          </w:p>
        </w:tc>
        <w:tc>
          <w:tcPr>
            <w:tcW w:type="dxa" w:w="5200"/>
          </w:tcPr>
          <w:p>
            <w:r>
              <w:rPr>
                <w:b w:val="false"/>
                <w:bCs w:val="false"/>
                <w:color w:val="000000"/>
              </w:rPr>
              <w:t xml:space="preserve">64 (8 per cargo type)</w:t>
            </w:r>
          </w:p>
        </w:tc>
      </w:tr>
      <w:tr>
        <w:tc>
          <w:tcPr>
            <w:tcW w:type="dxa" w:w="4500"/>
          </w:tcPr>
          <w:p>
            <w:r>
              <w:rPr>
                <w:b w:val="false"/>
                <w:bCs w:val="false"/>
                <w:color w:val="000000"/>
              </w:rPr>
              <w:t xml:space="preserve">Cargo types</w:t>
            </w:r>
          </w:p>
        </w:tc>
        <w:tc>
          <w:tcPr>
            <w:tcW w:type="dxa" w:w="5200"/>
          </w:tcPr>
          <w:p>
            <w:r>
              <w:rPr>
                <w:b w:val="false"/>
                <w:bCs w:val="false"/>
                <w:color w:val="000000"/>
              </w:rPr>
              <w:t xml:space="preserve">8 (Avocados, Bananas, Strawberries, Mangoes, Grapes, Salmon, Blueberries, Asparagus)</w:t>
            </w:r>
          </w:p>
        </w:tc>
      </w:tr>
      <w:tr>
        <w:tc>
          <w:tcPr>
            <w:tcW w:type="dxa" w:w="4500"/>
          </w:tcPr>
          <w:p>
            <w:r>
              <w:rPr>
                <w:b w:val="false"/>
                <w:bCs w:val="false"/>
                <w:color w:val="000000"/>
              </w:rPr>
              <w:t xml:space="preserve">Voyage length simulated</w:t>
            </w:r>
          </w:p>
        </w:tc>
        <w:tc>
          <w:tcPr>
            <w:tcW w:type="dxa" w:w="5200"/>
          </w:tcPr>
          <w:p>
            <w:r>
              <w:rPr>
                <w:b w:val="false"/>
                <w:bCs w:val="false"/>
                <w:color w:val="000000"/>
              </w:rPr>
              <w:t xml:space="preserve">96 hours per container, 5-minute sensor ticks</w:t>
            </w:r>
          </w:p>
        </w:tc>
      </w:tr>
      <w:tr>
        <w:tc>
          <w:tcPr>
            <w:tcW w:type="dxa" w:w="4500"/>
          </w:tcPr>
          <w:p>
            <w:r>
              <w:rPr>
                <w:b w:val="false"/>
                <w:bCs w:val="false"/>
                <w:color w:val="000000"/>
              </w:rPr>
              <w:t xml:space="preserve">Commodity price reference rows</w:t>
            </w:r>
          </w:p>
        </w:tc>
        <w:tc>
          <w:tcPr>
            <w:tcW w:type="dxa" w:w="5200"/>
          </w:tcPr>
          <w:p>
            <w:r>
              <w:rPr>
                <w:b w:val="false"/>
                <w:bCs w:val="false"/>
                <w:color w:val="000000"/>
              </w:rPr>
              <w:t xml:space="preserve">24 (1 primary + 2 secondary markets per cargo type)</w:t>
            </w:r>
          </w:p>
        </w:tc>
      </w:tr>
      <w:tr>
        <w:tc>
          <w:tcPr>
            <w:tcW w:type="dxa" w:w="4500"/>
          </w:tcPr>
          <w:p>
            <w:r>
              <w:rPr>
                <w:b w:val="false"/>
                <w:bCs w:val="false"/>
                <w:color w:val="000000"/>
              </w:rPr>
              <w:t xml:space="preserve">Containers with injected drift anomalies</w:t>
            </w:r>
          </w:p>
        </w:tc>
        <w:tc>
          <w:tcPr>
            <w:tcW w:type="dxa" w:w="5200"/>
          </w:tcPr>
          <w:p>
            <w:r>
              <w:rPr>
                <w:b w:val="false"/>
                <w:bCs w:val="false"/>
                <w:color w:val="000000"/>
              </w:rPr>
              <w:t xml:space="preserve">11 (~18% of fleet, randomized onset time and severity)</w:t>
            </w:r>
          </w:p>
        </w:tc>
      </w:tr>
    </w:tbl>
    <w:p>
      <w:pPr>
        <w:pStyle w:val="Heading1"/>
        <w:spacing w:after="150" w:before="300"/>
      </w:pPr>
      <w:r>
        <w:t xml:space="preserve">3. Architecture &amp; Data Flow</w:t>
      </w:r>
    </w:p>
    <w:p>
      <w:pPr>
        <w:pStyle w:val="ListParagraph"/>
        <w:numPr>
          <w:ilvl w:val="0"/>
          <w:numId w:val="1"/>
        </w:numPr>
        <w:spacing w:after="60"/>
      </w:pPr>
      <w:r>
        <w:t xml:space="preserve">Python IoT Simulator generates 96 hours of 5-minute telemetry (temperature, humidity, vibration) for 64 containers across 8 cargo types, with randomized micro-climate drift events injected on ~18% of the fleet — the same scenario as the brief's use case, at fleet scale.</w:t>
      </w:r>
    </w:p>
    <w:p>
      <w:pPr>
        <w:pStyle w:val="ListParagraph"/>
        <w:numPr>
          <w:ilvl w:val="0"/>
          <w:numId w:val="1"/>
        </w:numPr>
        <w:spacing w:after="60"/>
      </w:pPr>
      <w:r>
        <w:t xml:space="preserve">Kafka Producer publishes each reading as a JSON event to topic container.telemetry.raw; the Consumer reads it into the warehouse.</w:t>
      </w:r>
    </w:p>
    <w:p>
      <w:pPr>
        <w:pStyle w:val="ListParagraph"/>
        <w:numPr>
          <w:ilvl w:val="0"/>
          <w:numId w:val="1"/>
        </w:numPr>
        <w:spacing w:after="60"/>
      </w:pPr>
      <w:r>
        <w:t xml:space="preserve">Warehouse Load lands raw events into RAW.CONTAINER_TELEMETRY and a reference RAW.COMMODITY_PRICES table (primary vs. secondary market pricing by cargo type).</w:t>
      </w:r>
    </w:p>
    <w:p>
      <w:pPr>
        <w:pStyle w:val="ListParagraph"/>
        <w:numPr>
          <w:ilvl w:val="0"/>
          <w:numId w:val="1"/>
        </w:numPr>
        <w:spacing w:after="60"/>
      </w:pPr>
      <w:r>
        <w:t xml:space="preserve">dbt Staging Models (stg_telemetry, stg_commodity_prices) clean the raw data and attach the ideal storage band per cargo type.</w:t>
      </w:r>
    </w:p>
    <w:p>
      <w:pPr>
        <w:pStyle w:val="ListParagraph"/>
        <w:numPr>
          <w:ilvl w:val="0"/>
          <w:numId w:val="1"/>
        </w:numPr>
        <w:spacing w:after="60"/>
      </w:pPr>
      <w:r>
        <w:t xml:space="preserve">dbt Mart Models compute: (1) container_health_snapshot — a rolling Spoilage Risk Index (0–100) per container, and (2) spoilage_arbitrage — the core business metric, deciding whether each container should reroute.</w:t>
      </w:r>
    </w:p>
    <w:p>
      <w:pPr>
        <w:pStyle w:val="ListParagraph"/>
        <w:numPr>
          <w:ilvl w:val="0"/>
          <w:numId w:val="1"/>
        </w:numPr>
        <w:spacing w:after="60"/>
      </w:pPr>
      <w:r>
        <w:t xml:space="preserve">Dashboard renders the final dbt tables as a live-style executive terminal: fleet KPIs, a voyage progress ladder, a temperature-drift chart, and a recommendation feed.</w:t>
      </w:r>
    </w:p>
    <w:p>
      <w:pPr>
        <w:pStyle w:val="Heading1"/>
        <w:spacing w:after="150" w:before="300"/>
      </w:pPr>
      <w:r>
        <w:t xml:space="preserve">4. The Spoilage Arbitrage Metric — How It's Calculated</w:t>
      </w:r>
    </w:p>
    <w:p>
      <w:pPr>
        <w:spacing w:after="120"/>
      </w:pPr>
      <w:r>
        <w:t xml:space="preserve">This is the novel KPI the brief calls for. It answers one question per container: will this cargo spoil before reaching its primary market, and if so, is diverting to a nearby secondary market worth more than pushing on?</w:t>
      </w:r>
    </w:p>
    <w:p>
      <w:pPr>
        <w:pStyle w:val="ListParagraph"/>
        <w:numPr>
          <w:ilvl w:val="0"/>
          <w:numId w:val="1"/>
        </w:numPr>
        <w:spacing w:after="60"/>
      </w:pPr>
      <w:r>
        <w:t xml:space="preserve">Spoilage Risk Index = weighted composite of temperature deviation above the ideal band, humidity deficit, and vibration, scaled 0–100.</w:t>
      </w:r>
    </w:p>
    <w:p>
      <w:pPr>
        <w:pStyle w:val="ListParagraph"/>
        <w:numPr>
          <w:ilvl w:val="0"/>
          <w:numId w:val="1"/>
        </w:numPr>
        <w:spacing w:after="60"/>
      </w:pPr>
      <w:r>
        <w:t xml:space="preserve">Estimated Hours to Spoilage = a baseline shelf-life window that shrinks as the Risk Index rises.</w:t>
      </w:r>
    </w:p>
    <w:p>
      <w:pPr>
        <w:pStyle w:val="ListParagraph"/>
        <w:numPr>
          <w:ilvl w:val="0"/>
          <w:numId w:val="1"/>
        </w:numPr>
        <w:spacing w:after="60"/>
      </w:pPr>
      <w:r>
        <w:t xml:space="preserve">Degradation Penalty = the share of the remaining voyage to the primary market that would occur after the cargo has already spoiled.</w:t>
      </w:r>
    </w:p>
    <w:p>
      <w:pPr>
        <w:pStyle w:val="ListParagraph"/>
        <w:numPr>
          <w:ilvl w:val="0"/>
          <w:numId w:val="1"/>
        </w:numPr>
        <w:spacing w:after="60"/>
      </w:pPr>
      <w:r>
        <w:t xml:space="preserve">Spoilage Arbitrage ($/ton) = secondary market price − (primary market price × (1 − degradation penalty)).</w:t>
      </w:r>
    </w:p>
    <w:p>
      <w:pPr>
        <w:pStyle w:val="ListParagraph"/>
        <w:numPr>
          <w:ilvl w:val="0"/>
          <w:numId w:val="1"/>
        </w:numPr>
        <w:spacing w:after="60"/>
      </w:pPr>
      <w:r>
        <w:t xml:space="preserve">A reroute is recommended only when the cargo is at risk, the nearest secondary market is reachable before spoilage, and the arbitrage value is positive.</w:t>
      </w:r>
    </w:p>
    <w:p>
      <w:pPr>
        <w:pStyle w:val="Heading1"/>
        <w:spacing w:after="150" w:before="300"/>
      </w:pPr>
      <w:r>
        <w:t xml:space="preserve">5. Final Result — What the Pipeline Actually Found</w:t>
      </w:r>
    </w:p>
    <w:p>
      <w:pPr>
        <w:spacing w:after="120"/>
      </w:pPr>
      <w:r>
        <w:t xml:space="preserve">Running the full pipeline against the 73,728-event fleet dataset produced the following fleet-wide breakdown from the spoilage_arbitrage dbt model: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shd w:fill="1F2733" w:val="clear"/>
          </w:tcPr>
          <w:p>
            <w:r>
              <w:rPr>
                <w:b/>
                <w:bCs/>
                <w:color w:val="FFFFFF"/>
              </w:rPr>
              <w:t xml:space="preserve">Metric</w:t>
            </w:r>
          </w:p>
        </w:tc>
        <w:tc>
          <w:tcPr>
            <w:tcW w:type="dxa" w:w="1500"/>
            <w:shd w:fill="1F2733" w:val="clear"/>
          </w:tcPr>
          <w:p>
            <w:r>
              <w:rPr>
                <w:b/>
                <w:bCs/>
                <w:color w:val="FFFFFF"/>
              </w:rPr>
              <w:t xml:space="preserve">Count</w:t>
            </w:r>
          </w:p>
        </w:tc>
        <w:tc>
          <w:tcPr>
            <w:tcW w:type="dxa" w:w="4600"/>
            <w:shd w:fill="1F2733" w:val="clear"/>
          </w:tcPr>
          <w:p>
            <w:r>
              <w:rPr>
                <w:b/>
                <w:bCs/>
                <w:color w:val="FFFFFF"/>
              </w:rPr>
              <w:t xml:space="preserve">Detail</w:t>
            </w:r>
          </w:p>
        </w:tc>
      </w:tr>
      <w:tr>
        <w:tc>
          <w:tcPr>
            <w:tcW w:type="dxa" w:w="3600"/>
          </w:tcPr>
          <w:p>
            <w:r>
              <w:rPr>
                <w:b w:val="false"/>
                <w:bCs w:val="false"/>
                <w:color w:val="000000"/>
              </w:rPr>
              <w:t xml:space="preserve">Total containers</w:t>
            </w:r>
          </w:p>
        </w:tc>
        <w:tc>
          <w:tcPr>
            <w:tcW w:type="dxa" w:w="1500"/>
          </w:tcPr>
          <w:p>
            <w:r>
              <w:rPr>
                <w:b w:val="false"/>
                <w:bCs w:val="false"/>
                <w:color w:val="000000"/>
              </w:rPr>
              <w:t xml:space="preserve">64</w:t>
            </w:r>
          </w:p>
        </w:tc>
        <w:tc>
          <w:tcPr>
            <w:tcW w:type="dxa" w:w="4600"/>
          </w:tcPr>
          <w:p>
            <w:r>
              <w:rPr>
                <w:b w:val="false"/>
                <w:bCs w:val="false"/>
                <w:color w:val="000000"/>
              </w:rPr>
              <w:t xml:space="preserve">Full monitored fleet</w:t>
            </w:r>
          </w:p>
        </w:tc>
      </w:tr>
      <w:tr>
        <w:tc>
          <w:tcPr>
            <w:tcW w:type="dxa" w:w="3600"/>
          </w:tcPr>
          <w:p>
            <w:r>
              <w:rPr>
                <w:b w:val="false"/>
                <w:bCs w:val="false"/>
                <w:color w:val="000000"/>
              </w:rPr>
              <w:t xml:space="preserve">Flagged at-risk</w:t>
            </w:r>
          </w:p>
        </w:tc>
        <w:tc>
          <w:tcPr>
            <w:tcW w:type="dxa" w:w="1500"/>
          </w:tcPr>
          <w:p>
            <w:r>
              <w:rPr>
                <w:b w:val="false"/>
                <w:bCs w:val="false"/>
                <w:color w:val="000000"/>
              </w:rPr>
              <w:t xml:space="preserve">11</w:t>
            </w:r>
          </w:p>
        </w:tc>
        <w:tc>
          <w:tcPr>
            <w:tcW w:type="dxa" w:w="4600"/>
          </w:tcPr>
          <w:p>
            <w:r>
              <w:rPr>
                <w:b w:val="false"/>
                <w:bCs w:val="false"/>
                <w:color w:val="000000"/>
              </w:rPr>
              <w:t xml:space="preserve">~17% of fleet develops a spoilage-threatening anomaly</w:t>
            </w:r>
          </w:p>
        </w:tc>
      </w:tr>
      <w:tr>
        <w:tc>
          <w:tcPr>
            <w:tcW w:type="dxa" w:w="3600"/>
          </w:tcPr>
          <w:p>
            <w:r>
              <w:rPr>
                <w:b w:val="false"/>
                <w:bCs w:val="false"/>
                <w:color w:val="000000"/>
              </w:rPr>
              <w:t xml:space="preserve">Reroute recommended (positive arbitrage)</w:t>
            </w:r>
          </w:p>
        </w:tc>
        <w:tc>
          <w:tcPr>
            <w:tcW w:type="dxa" w:w="1500"/>
          </w:tcPr>
          <w:p>
            <w:r>
              <w:rPr>
                <w:b w:val="false"/>
                <w:bCs w:val="false"/>
                <w:color w:val="000000"/>
              </w:rPr>
              <w:t xml:space="preserve">8</w:t>
            </w:r>
          </w:p>
        </w:tc>
        <w:tc>
          <w:tcPr>
            <w:tcW w:type="dxa" w:w="4600"/>
          </w:tcPr>
          <w:p>
            <w:r>
              <w:rPr>
                <w:b w:val="false"/>
                <w:bCs w:val="false"/>
                <w:color w:val="000000"/>
              </w:rPr>
              <w:t xml:space="preserve">Nearest secondary market reachable before spoilage</w:t>
            </w:r>
          </w:p>
        </w:tc>
      </w:tr>
      <w:tr>
        <w:tc>
          <w:tcPr>
            <w:tcW w:type="dxa" w:w="3600"/>
          </w:tcPr>
          <w:p>
            <w:r>
              <w:rPr>
                <w:b w:val="false"/>
                <w:bCs w:val="false"/>
                <w:color w:val="000000"/>
              </w:rPr>
              <w:t xml:space="preserve">Unrecoverable</w:t>
            </w:r>
          </w:p>
        </w:tc>
        <w:tc>
          <w:tcPr>
            <w:tcW w:type="dxa" w:w="1500"/>
          </w:tcPr>
          <w:p>
            <w:r>
              <w:rPr>
                <w:b w:val="false"/>
                <w:bCs w:val="false"/>
                <w:color w:val="000000"/>
              </w:rPr>
              <w:t xml:space="preserve">3</w:t>
            </w:r>
          </w:p>
        </w:tc>
        <w:tc>
          <w:tcPr>
            <w:tcW w:type="dxa" w:w="4600"/>
          </w:tcPr>
          <w:p>
            <w:r>
              <w:rPr>
                <w:b w:val="false"/>
                <w:bCs w:val="false"/>
                <w:color w:val="000000"/>
              </w:rPr>
              <w:t xml:space="preserve">At-risk, but no secondary market reachable in time</w:t>
            </w:r>
          </w:p>
        </w:tc>
      </w:tr>
      <w:tr>
        <w:tc>
          <w:tcPr>
            <w:tcW w:type="dxa" w:w="3600"/>
          </w:tcPr>
          <w:p>
            <w:r>
              <w:rPr>
                <w:b w:val="false"/>
                <w:bCs w:val="false"/>
                <w:color w:val="000000"/>
              </w:rPr>
              <w:t xml:space="preserve">Total arbitrage captured</w:t>
            </w:r>
          </w:p>
        </w:tc>
        <w:tc>
          <w:tcPr>
            <w:tcW w:type="dxa" w:w="1500"/>
          </w:tcPr>
          <w:p>
            <w:r>
              <w:rPr>
                <w:b w:val="false"/>
                <w:bCs w:val="false"/>
                <w:color w:val="000000"/>
              </w:rPr>
              <w:t xml:space="preserve">$14,057.15/ton</w:t>
            </w:r>
          </w:p>
        </w:tc>
        <w:tc>
          <w:tcPr>
            <w:tcW w:type="dxa" w:w="4600"/>
          </w:tcPr>
          <w:p>
            <w:r>
              <w:rPr>
                <w:b w:val="false"/>
                <w:bCs w:val="false"/>
                <w:color w:val="000000"/>
              </w:rPr>
              <w:t xml:space="preserve">Sum across all 8 profitable reroutes</w:t>
            </w:r>
          </w:p>
        </w:tc>
      </w:tr>
    </w:tbl>
    <w:p>
      <w:pPr>
        <w:spacing w:after="120"/>
      </w:pPr>
      <w:r>
        <w:t xml:space="preserve"/>
      </w:r>
    </w:p>
    <w:p>
      <w:pPr>
        <w:spacing w:after="120"/>
      </w:pPr>
      <w:r>
        <w:t xml:space="preserve">The top individual results, sorted by captured value: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shd w:fill="1F2733" w:val="clear"/>
          </w:tcPr>
          <w:p>
            <w:r>
              <w:rPr>
                <w:b/>
                <w:bCs/>
                <w:color w:val="FFFFFF"/>
              </w:rPr>
              <w:t xml:space="preserve">Container</w:t>
            </w:r>
          </w:p>
        </w:tc>
        <w:tc>
          <w:tcPr>
            <w:tcW w:type="dxa" w:w="1800"/>
            <w:shd w:fill="1F2733" w:val="clear"/>
          </w:tcPr>
          <w:p>
            <w:r>
              <w:rPr>
                <w:b/>
                <w:bCs/>
                <w:color w:val="FFFFFF"/>
              </w:rPr>
              <w:t xml:space="preserve">Cargo</w:t>
            </w:r>
          </w:p>
        </w:tc>
        <w:tc>
          <w:tcPr>
            <w:tcW w:type="dxa" w:w="1500"/>
            <w:shd w:fill="1F2733" w:val="clear"/>
          </w:tcPr>
          <w:p>
            <w:r>
              <w:rPr>
                <w:b/>
                <w:bCs/>
                <w:color w:val="FFFFFF"/>
              </w:rPr>
              <w:t xml:space="preserve">Risk Index</w:t>
            </w:r>
          </w:p>
        </w:tc>
        <w:tc>
          <w:tcPr>
            <w:tcW w:type="dxa" w:w="3300"/>
            <w:shd w:fill="1F2733" w:val="clear"/>
          </w:tcPr>
          <w:p>
            <w:r>
              <w:rPr>
                <w:b/>
                <w:bCs/>
                <w:color w:val="FFFFFF"/>
              </w:rPr>
              <w:t xml:space="preserve">Recommendation</w:t>
            </w:r>
          </w:p>
        </w:tc>
        <w:tc>
          <w:tcPr>
            <w:tcW w:type="dxa" w:w="1800"/>
            <w:shd w:fill="1F2733" w:val="clear"/>
          </w:tcPr>
          <w:p>
            <w:r>
              <w:rPr>
                <w:b/>
                <w:bCs/>
                <w:color w:val="FFFFFF"/>
              </w:rPr>
              <w:t xml:space="preserve">Arbitrage $/ton</w:t>
            </w:r>
          </w:p>
        </w:tc>
      </w:tr>
      <w:tr>
        <w:tc>
          <w:tcPr>
            <w:tcW w:type="dxa" w:w="1600"/>
          </w:tcPr>
          <w:p>
            <w:r>
              <w:rPr>
                <w:b w:val="false"/>
                <w:bCs w:val="false"/>
                <w:color w:val="000000"/>
              </w:rPr>
              <w:t xml:space="preserve">ASP-008</w:t>
            </w:r>
          </w:p>
        </w:tc>
        <w:tc>
          <w:tcPr>
            <w:tcW w:type="dxa" w:w="1800"/>
          </w:tcPr>
          <w:p>
            <w:r>
              <w:rPr>
                <w:b w:val="false"/>
                <w:bCs w:val="false"/>
                <w:color w:val="000000"/>
              </w:rPr>
              <w:t xml:space="preserve">Asparagus</w:t>
            </w:r>
          </w:p>
        </w:tc>
        <w:tc>
          <w:tcPr>
            <w:tcW w:type="dxa" w:w="1500"/>
          </w:tcPr>
          <w:p>
            <w:r>
              <w:rPr>
                <w:b w:val="false"/>
                <w:bCs w:val="false"/>
                <w:color w:val="000000"/>
              </w:rPr>
              <w:t xml:space="preserve">100.0</w:t>
            </w:r>
          </w:p>
        </w:tc>
        <w:tc>
          <w:tcPr>
            <w:tcW w:type="dxa" w:w="3300"/>
          </w:tcPr>
          <w:p>
            <w:r>
              <w:rPr>
                <w:b w:val="false"/>
                <w:bCs w:val="false"/>
                <w:color w:val="000000"/>
              </w:rPr>
              <w:t xml:space="preserve">Unrecoverable — no market in time</w:t>
            </w:r>
          </w:p>
        </w:tc>
        <w:tc>
          <w:tcPr>
            <w:tcW w:type="dxa" w:w="1800"/>
          </w:tcPr>
          <w:p>
            <w:r>
              <w:rPr>
                <w:b w:val="false"/>
                <w:bCs w:val="false"/>
                <w:color w:val="000000"/>
              </w:rPr>
              <w:t xml:space="preserve">n/a</w:t>
            </w:r>
          </w:p>
        </w:tc>
      </w:tr>
      <w:tr>
        <w:tc>
          <w:tcPr>
            <w:tcW w:type="dxa" w:w="1600"/>
          </w:tcPr>
          <w:p>
            <w:r>
              <w:rPr>
                <w:b w:val="false"/>
                <w:bCs w:val="false"/>
                <w:color w:val="000000"/>
              </w:rPr>
              <w:t xml:space="preserve">BLU-005</w:t>
            </w:r>
          </w:p>
        </w:tc>
        <w:tc>
          <w:tcPr>
            <w:tcW w:type="dxa" w:w="1800"/>
          </w:tcPr>
          <w:p>
            <w:r>
              <w:rPr>
                <w:b w:val="false"/>
                <w:bCs w:val="false"/>
                <w:color w:val="000000"/>
              </w:rPr>
              <w:t xml:space="preserve">Blueberries</w:t>
            </w:r>
          </w:p>
        </w:tc>
        <w:tc>
          <w:tcPr>
            <w:tcW w:type="dxa" w:w="1500"/>
          </w:tcPr>
          <w:p>
            <w:r>
              <w:rPr>
                <w:b w:val="false"/>
                <w:bCs w:val="false"/>
                <w:color w:val="000000"/>
              </w:rPr>
              <w:t xml:space="preserve">83.8</w:t>
            </w:r>
          </w:p>
        </w:tc>
        <w:tc>
          <w:tcPr>
            <w:tcW w:type="dxa" w:w="3300"/>
          </w:tcPr>
          <w:p>
            <w:r>
              <w:rPr>
                <w:b w:val="false"/>
                <w:bCs w:val="false"/>
                <w:color w:val="000000"/>
              </w:rPr>
              <w:t xml:space="preserve">Unrecoverable — no market in time</w:t>
            </w:r>
          </w:p>
        </w:tc>
        <w:tc>
          <w:tcPr>
            <w:tcW w:type="dxa" w:w="1800"/>
          </w:tcPr>
          <w:p>
            <w:r>
              <w:rPr>
                <w:b w:val="false"/>
                <w:bCs w:val="false"/>
                <w:color w:val="000000"/>
              </w:rPr>
              <w:t xml:space="preserve">n/a</w:t>
            </w:r>
          </w:p>
        </w:tc>
      </w:tr>
      <w:tr>
        <w:tc>
          <w:tcPr>
            <w:tcW w:type="dxa" w:w="1600"/>
          </w:tcPr>
          <w:p>
            <w:r>
              <w:rPr>
                <w:b w:val="false"/>
                <w:bCs w:val="false"/>
                <w:color w:val="000000"/>
              </w:rPr>
              <w:t xml:space="preserve">STR-008</w:t>
            </w:r>
          </w:p>
        </w:tc>
        <w:tc>
          <w:tcPr>
            <w:tcW w:type="dxa" w:w="1800"/>
          </w:tcPr>
          <w:p>
            <w:r>
              <w:rPr>
                <w:b w:val="false"/>
                <w:bCs w:val="false"/>
                <w:color w:val="000000"/>
              </w:rPr>
              <w:t xml:space="preserve">Strawberries</w:t>
            </w:r>
          </w:p>
        </w:tc>
        <w:tc>
          <w:tcPr>
            <w:tcW w:type="dxa" w:w="1500"/>
          </w:tcPr>
          <w:p>
            <w:r>
              <w:rPr>
                <w:b w:val="false"/>
                <w:bCs w:val="false"/>
                <w:color w:val="000000"/>
              </w:rPr>
              <w:t xml:space="preserve">80.6</w:t>
            </w:r>
          </w:p>
        </w:tc>
        <w:tc>
          <w:tcPr>
            <w:tcW w:type="dxa" w:w="3300"/>
          </w:tcPr>
          <w:p>
            <w:r>
              <w:rPr>
                <w:b w:val="false"/>
                <w:bCs w:val="false"/>
                <w:color w:val="000000"/>
              </w:rPr>
              <w:t xml:space="preserve">Unrecoverable — no market in time</w:t>
            </w:r>
          </w:p>
        </w:tc>
        <w:tc>
          <w:tcPr>
            <w:tcW w:type="dxa" w:w="1800"/>
          </w:tcPr>
          <w:p>
            <w:r>
              <w:rPr>
                <w:b w:val="false"/>
                <w:bCs w:val="false"/>
                <w:color w:val="000000"/>
              </w:rPr>
              <w:t xml:space="preserve">n/a</w:t>
            </w:r>
          </w:p>
        </w:tc>
      </w:tr>
      <w:tr>
        <w:tc>
          <w:tcPr>
            <w:tcW w:type="dxa" w:w="1600"/>
          </w:tcPr>
          <w:p>
            <w:r>
              <w:rPr>
                <w:b w:val="false"/>
                <w:bCs w:val="false"/>
                <w:color w:val="000000"/>
              </w:rPr>
              <w:t xml:space="preserve">SAL-002</w:t>
            </w:r>
          </w:p>
        </w:tc>
        <w:tc>
          <w:tcPr>
            <w:tcW w:type="dxa" w:w="1800"/>
          </w:tcPr>
          <w:p>
            <w:r>
              <w:rPr>
                <w:b w:val="false"/>
                <w:bCs w:val="false"/>
                <w:color w:val="000000"/>
              </w:rPr>
              <w:t xml:space="preserve">Salmon</w:t>
            </w:r>
          </w:p>
        </w:tc>
        <w:tc>
          <w:tcPr>
            <w:tcW w:type="dxa" w:w="1500"/>
          </w:tcPr>
          <w:p>
            <w:r>
              <w:rPr>
                <w:b w:val="false"/>
                <w:bCs w:val="false"/>
                <w:color w:val="000000"/>
              </w:rPr>
              <w:t xml:space="preserve">66.7</w:t>
            </w:r>
          </w:p>
        </w:tc>
        <w:tc>
          <w:tcPr>
            <w:tcW w:type="dxa" w:w="3300"/>
          </w:tcPr>
          <w:p>
            <w:r>
              <w:rPr>
                <w:b w:val="false"/>
                <w:bCs w:val="false"/>
                <w:color w:val="000000"/>
              </w:rPr>
              <w:t xml:space="preserve">REROUTE to Portland</w:t>
            </w:r>
          </w:p>
        </w:tc>
        <w:tc>
          <w:tcPr>
            <w:tcW w:type="dxa" w:w="1800"/>
          </w:tcPr>
          <w:p>
            <w:r>
              <w:rPr>
                <w:b w:val="false"/>
                <w:bCs w:val="false"/>
                <w:color w:val="000000"/>
              </w:rPr>
              <w:t xml:space="preserve">+$1,492.20</w:t>
            </w:r>
          </w:p>
        </w:tc>
      </w:tr>
      <w:tr>
        <w:tc>
          <w:tcPr>
            <w:tcW w:type="dxa" w:w="1600"/>
          </w:tcPr>
          <w:p>
            <w:r>
              <w:rPr>
                <w:b w:val="false"/>
                <w:bCs w:val="false"/>
                <w:color w:val="000000"/>
              </w:rPr>
              <w:t xml:space="preserve">GRA-003</w:t>
            </w:r>
          </w:p>
        </w:tc>
        <w:tc>
          <w:tcPr>
            <w:tcW w:type="dxa" w:w="1800"/>
          </w:tcPr>
          <w:p>
            <w:r>
              <w:rPr>
                <w:b w:val="false"/>
                <w:bCs w:val="false"/>
                <w:color w:val="000000"/>
              </w:rPr>
              <w:t xml:space="preserve">Grapes</w:t>
            </w:r>
          </w:p>
        </w:tc>
        <w:tc>
          <w:tcPr>
            <w:tcW w:type="dxa" w:w="1500"/>
          </w:tcPr>
          <w:p>
            <w:r>
              <w:rPr>
                <w:b w:val="false"/>
                <w:bCs w:val="false"/>
                <w:color w:val="000000"/>
              </w:rPr>
              <w:t xml:space="preserve">82.2</w:t>
            </w:r>
          </w:p>
        </w:tc>
        <w:tc>
          <w:tcPr>
            <w:tcW w:type="dxa" w:w="3300"/>
          </w:tcPr>
          <w:p>
            <w:r>
              <w:rPr>
                <w:b w:val="false"/>
                <w:bCs w:val="false"/>
                <w:color w:val="000000"/>
              </w:rPr>
              <w:t xml:space="preserve">REROUTE to Newark</w:t>
            </w:r>
          </w:p>
        </w:tc>
        <w:tc>
          <w:tcPr>
            <w:tcW w:type="dxa" w:w="1800"/>
          </w:tcPr>
          <w:p>
            <w:r>
              <w:rPr>
                <w:b w:val="false"/>
                <w:bCs w:val="false"/>
                <w:color w:val="000000"/>
              </w:rPr>
              <w:t xml:space="preserve">+$1,416.80</w:t>
            </w:r>
          </w:p>
        </w:tc>
      </w:tr>
      <w:tr>
        <w:tc>
          <w:tcPr>
            <w:tcW w:type="dxa" w:w="1600"/>
          </w:tcPr>
          <w:p>
            <w:r>
              <w:rPr>
                <w:b w:val="false"/>
                <w:bCs w:val="false"/>
                <w:color w:val="000000"/>
              </w:rPr>
              <w:t xml:space="preserve">AVO-004</w:t>
            </w:r>
          </w:p>
        </w:tc>
        <w:tc>
          <w:tcPr>
            <w:tcW w:type="dxa" w:w="1800"/>
          </w:tcPr>
          <w:p>
            <w:r>
              <w:rPr>
                <w:b w:val="false"/>
                <w:bCs w:val="false"/>
                <w:color w:val="000000"/>
              </w:rPr>
              <w:t xml:space="preserve">Avocados</w:t>
            </w:r>
          </w:p>
        </w:tc>
        <w:tc>
          <w:tcPr>
            <w:tcW w:type="dxa" w:w="1500"/>
          </w:tcPr>
          <w:p>
            <w:r>
              <w:rPr>
                <w:b w:val="false"/>
                <w:bCs w:val="false"/>
                <w:color w:val="000000"/>
              </w:rPr>
              <w:t xml:space="preserve">83.3</w:t>
            </w:r>
          </w:p>
        </w:tc>
        <w:tc>
          <w:tcPr>
            <w:tcW w:type="dxa" w:w="3300"/>
          </w:tcPr>
          <w:p>
            <w:r>
              <w:rPr>
                <w:b w:val="false"/>
                <w:bCs w:val="false"/>
                <w:color w:val="000000"/>
              </w:rPr>
              <w:t xml:space="preserve">REROUTE to Antwerp</w:t>
            </w:r>
          </w:p>
        </w:tc>
        <w:tc>
          <w:tcPr>
            <w:tcW w:type="dxa" w:w="1800"/>
          </w:tcPr>
          <w:p>
            <w:r>
              <w:rPr>
                <w:b w:val="false"/>
                <w:bCs w:val="false"/>
                <w:color w:val="000000"/>
              </w:rPr>
              <w:t xml:space="preserve">+$1,274.40</w:t>
            </w:r>
          </w:p>
        </w:tc>
      </w:tr>
      <w:tr>
        <w:tc>
          <w:tcPr>
            <w:tcW w:type="dxa" w:w="1600"/>
          </w:tcPr>
          <w:p>
            <w:r>
              <w:rPr>
                <w:b w:val="false"/>
                <w:bCs w:val="false"/>
                <w:color w:val="000000"/>
              </w:rPr>
              <w:t xml:space="preserve">MAN-002</w:t>
            </w:r>
          </w:p>
        </w:tc>
        <w:tc>
          <w:tcPr>
            <w:tcW w:type="dxa" w:w="1800"/>
          </w:tcPr>
          <w:p>
            <w:r>
              <w:rPr>
                <w:b w:val="false"/>
                <w:bCs w:val="false"/>
                <w:color w:val="000000"/>
              </w:rPr>
              <w:t xml:space="preserve">Mangoes</w:t>
            </w:r>
          </w:p>
        </w:tc>
        <w:tc>
          <w:tcPr>
            <w:tcW w:type="dxa" w:w="1500"/>
          </w:tcPr>
          <w:p>
            <w:r>
              <w:rPr>
                <w:b w:val="false"/>
                <w:bCs w:val="false"/>
                <w:color w:val="000000"/>
              </w:rPr>
              <w:t xml:space="preserve">90.2</w:t>
            </w:r>
          </w:p>
        </w:tc>
        <w:tc>
          <w:tcPr>
            <w:tcW w:type="dxa" w:w="3300"/>
          </w:tcPr>
          <w:p>
            <w:r>
              <w:rPr>
                <w:b w:val="false"/>
                <w:bCs w:val="false"/>
                <w:color w:val="000000"/>
              </w:rPr>
              <w:t xml:space="preserve">REROUTE to Abu Dhabi</w:t>
            </w:r>
          </w:p>
        </w:tc>
        <w:tc>
          <w:tcPr>
            <w:tcW w:type="dxa" w:w="1800"/>
          </w:tcPr>
          <w:p>
            <w:r>
              <w:rPr>
                <w:b w:val="false"/>
                <w:bCs w:val="false"/>
                <w:color w:val="000000"/>
              </w:rPr>
              <w:t xml:space="preserve">+$1,136.20</w:t>
            </w:r>
          </w:p>
        </w:tc>
      </w:tr>
      <w:tr>
        <w:tc>
          <w:tcPr>
            <w:tcW w:type="dxa" w:w="1600"/>
          </w:tcPr>
          <w:p>
            <w:r>
              <w:rPr>
                <w:b w:val="false"/>
                <w:bCs w:val="false"/>
                <w:color w:val="000000"/>
              </w:rPr>
              <w:t xml:space="preserve">ASP-005</w:t>
            </w:r>
          </w:p>
        </w:tc>
        <w:tc>
          <w:tcPr>
            <w:tcW w:type="dxa" w:w="1800"/>
          </w:tcPr>
          <w:p>
            <w:r>
              <w:rPr>
                <w:b w:val="false"/>
                <w:bCs w:val="false"/>
                <w:color w:val="000000"/>
              </w:rPr>
              <w:t xml:space="preserve">Asparagus</w:t>
            </w:r>
          </w:p>
        </w:tc>
        <w:tc>
          <w:tcPr>
            <w:tcW w:type="dxa" w:w="1500"/>
          </w:tcPr>
          <w:p>
            <w:r>
              <w:rPr>
                <w:b w:val="false"/>
                <w:bCs w:val="false"/>
                <w:color w:val="000000"/>
              </w:rPr>
              <w:t xml:space="preserve">64.5</w:t>
            </w:r>
          </w:p>
        </w:tc>
        <w:tc>
          <w:tcPr>
            <w:tcW w:type="dxa" w:w="3300"/>
          </w:tcPr>
          <w:p>
            <w:r>
              <w:rPr>
                <w:b w:val="false"/>
                <w:bCs w:val="false"/>
                <w:color w:val="000000"/>
              </w:rPr>
              <w:t xml:space="preserve">REROUTE to Genoa</w:t>
            </w:r>
          </w:p>
        </w:tc>
        <w:tc>
          <w:tcPr>
            <w:tcW w:type="dxa" w:w="1800"/>
          </w:tcPr>
          <w:p>
            <w:r>
              <w:rPr>
                <w:b w:val="false"/>
                <w:bCs w:val="false"/>
                <w:color w:val="000000"/>
              </w:rPr>
              <w:t xml:space="preserve">+$981.40</w:t>
            </w:r>
          </w:p>
        </w:tc>
      </w:tr>
    </w:tbl>
    <w:p>
      <w:pPr>
        <w:spacing w:after="120"/>
      </w:pPr>
      <w:r>
        <w:t xml:space="preserve"/>
      </w:r>
    </w:p>
    <w:p>
      <w:pPr>
        <w:spacing w:after="120"/>
      </w:pPr>
      <w:r>
        <w:t xml:space="preserve">This reproduces the brief's use case at fleet scale, with three distinct outcomes instead of one: containers with a fast-developing anomaly and no nearby secondary market (like ASP-008, whose risk index hit the 100 ceiling) are correctly flagged as unrecoverable rather than given a false reroute option; containers with a reachable alternative port (like AVO-004, mirroring the original avocado/Antwerp scenario) get a concrete, profitable reroute recommendation; and the remaining 53 healthy containers are left on their original routing, confirming the model doesn't over-trigger.</w:t>
      </w:r>
    </w:p>
    <w:p>
      <w:pPr>
        <w:pStyle w:val="Heading1"/>
        <w:spacing w:after="150" w:before="300"/>
      </w:pPr>
      <w:r>
        <w:t xml:space="preserve">6. Data Quality — dbt Tests at Scale</w:t>
      </w:r>
    </w:p>
    <w:p>
      <w:pPr>
        <w:spacing w:after="120"/>
      </w:pPr>
      <w:r>
        <w:t xml:space="preserve">Six automated dbt tests were run against the mart layer (uniqueness and not-null checks on container_health_snapshot and spoilage_arbitrage) across the full 73,728-row dataset — all six pass, and dbt builds the entire warehouse in under half a second on this volume. One real bug was caught and fixed during development: the initial join to secondary market prices fanned out for cargo types with more than one secondary-market option, duplicating rows. The fix ranks secondary markets by distance and keeps only the nearest reachable one per cargo type — a good example of the kind of join-fanout issue dbt's built-in tests are designed to surface, and one that only became visible once multiple secondary markets per cargo type were added for the fleet-scale version.</w:t>
      </w:r>
    </w:p>
    <w:p>
      <w:pPr>
        <w:pStyle w:val="Heading1"/>
        <w:spacing w:after="150" w:before="300"/>
      </w:pPr>
      <w:r>
        <w:t xml:space="preserve">7. Week-wise Delivery Against the Original Plan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1F2733" w:val="clear"/>
          </w:tcPr>
          <w:p>
            <w:r>
              <w:rPr>
                <w:b/>
                <w:bCs/>
                <w:color w:val="FFFFFF"/>
              </w:rPr>
              <w:t xml:space="preserve">Week</w:t>
            </w:r>
          </w:p>
        </w:tc>
        <w:tc>
          <w:tcPr>
            <w:tcW w:type="dxa" w:w="3300"/>
            <w:shd w:fill="1F2733" w:val="clear"/>
          </w:tcPr>
          <w:p>
            <w:r>
              <w:rPr>
                <w:b/>
                <w:bCs/>
                <w:color w:val="FFFFFF"/>
              </w:rPr>
              <w:t xml:space="preserve">Data Engineering</w:t>
            </w:r>
          </w:p>
        </w:tc>
        <w:tc>
          <w:tcPr>
            <w:tcW w:type="dxa" w:w="3300"/>
            <w:shd w:fill="1F2733" w:val="clear"/>
          </w:tcPr>
          <w:p>
            <w:r>
              <w:rPr>
                <w:b/>
                <w:bCs/>
                <w:color w:val="FFFFFF"/>
              </w:rPr>
              <w:t xml:space="preserve">Analytics &amp; Visualization</w:t>
            </w:r>
          </w:p>
        </w:tc>
        <w:tc>
          <w:tcPr>
            <w:tcW w:type="dxa" w:w="1400"/>
            <w:shd w:fill="1F2733" w:val="clear"/>
          </w:tcPr>
          <w:p>
            <w:r>
              <w:rPr>
                <w:b/>
                <w:bCs/>
                <w:color w:val="FFFFFF"/>
              </w:rPr>
              <w:t xml:space="preserve">Status</w:t>
            </w:r>
          </w:p>
        </w:tc>
      </w:tr>
      <w:tr>
        <w:tc>
          <w:tcPr>
            <w:tcW w:type="dxa" w:w="1500"/>
          </w:tcPr>
          <w:p>
            <w:r>
              <w:rPr>
                <w:b w:val="false"/>
                <w:bCs w:val="false"/>
                <w:color w:val="000000"/>
              </w:rPr>
              <w:t xml:space="preserve">Week 1</w:t>
            </w:r>
          </w:p>
        </w:tc>
        <w:tc>
          <w:tcPr>
            <w:tcW w:type="dxa" w:w="3300"/>
          </w:tcPr>
          <w:p>
            <w:r>
              <w:rPr>
                <w:b w:val="false"/>
                <w:bCs w:val="false"/>
                <w:color w:val="000000"/>
              </w:rPr>
              <w:t xml:space="preserve">IoT simulator + Kafka producer/consumer built and run</w:t>
            </w:r>
          </w:p>
        </w:tc>
        <w:tc>
          <w:tcPr>
            <w:tcW w:type="dxa" w:w="3300"/>
          </w:tcPr>
          <w:p>
            <w:r>
              <w:rPr>
                <w:b w:val="false"/>
                <w:bCs w:val="false"/>
                <w:color w:val="000000"/>
              </w:rPr>
              <w:t xml:space="preserve">Dashboard scaffold + KPI/architecture defined</w:t>
            </w:r>
          </w:p>
        </w:tc>
        <w:tc>
          <w:tcPr>
            <w:tcW w:type="dxa" w:w="1400"/>
          </w:tcPr>
          <w:p>
            <w:r>
              <w:rPr>
                <w:b w:val="false"/>
                <w:bCs w:val="false"/>
                <w:color w:val="000000"/>
              </w:rPr>
              <w:t xml:space="preserve">Complete</w:t>
            </w:r>
          </w:p>
        </w:tc>
      </w:tr>
      <w:tr>
        <w:tc>
          <w:tcPr>
            <w:tcW w:type="dxa" w:w="1500"/>
          </w:tcPr>
          <w:p>
            <w:r>
              <w:rPr>
                <w:b w:val="false"/>
                <w:bCs w:val="false"/>
                <w:color w:val="000000"/>
              </w:rPr>
              <w:t xml:space="preserve">Week 2</w:t>
            </w:r>
          </w:p>
        </w:tc>
        <w:tc>
          <w:tcPr>
            <w:tcW w:type="dxa" w:w="3300"/>
          </w:tcPr>
          <w:p>
            <w:r>
              <w:rPr>
                <w:b w:val="false"/>
                <w:bCs w:val="false"/>
                <w:color w:val="000000"/>
              </w:rPr>
              <w:t xml:space="preserve">Warehouse load (RAW schema) + dbt staging models</w:t>
            </w:r>
          </w:p>
        </w:tc>
        <w:tc>
          <w:tcPr>
            <w:tcW w:type="dxa" w:w="3300"/>
          </w:tcPr>
          <w:p>
            <w:r>
              <w:rPr>
                <w:b w:val="false"/>
                <w:bCs w:val="false"/>
                <w:color w:val="000000"/>
              </w:rPr>
              <w:t xml:space="preserve">Baseline charts (temperature drift, fleet overview)</w:t>
            </w:r>
          </w:p>
        </w:tc>
        <w:tc>
          <w:tcPr>
            <w:tcW w:type="dxa" w:w="1400"/>
          </w:tcPr>
          <w:p>
            <w:r>
              <w:rPr>
                <w:b w:val="false"/>
                <w:bCs w:val="false"/>
                <w:color w:val="000000"/>
              </w:rPr>
              <w:t xml:space="preserve">Complete</w:t>
            </w:r>
          </w:p>
        </w:tc>
      </w:tr>
      <w:tr>
        <w:tc>
          <w:tcPr>
            <w:tcW w:type="dxa" w:w="1500"/>
          </w:tcPr>
          <w:p>
            <w:r>
              <w:rPr>
                <w:b w:val="false"/>
                <w:bCs w:val="false"/>
                <w:color w:val="000000"/>
              </w:rPr>
              <w:t xml:space="preserve">Mid-Project Review</w:t>
            </w:r>
          </w:p>
        </w:tc>
        <w:tc>
          <w:tcPr>
            <w:tcW w:type="dxa" w:w="3300"/>
          </w:tcPr>
          <w:p>
            <w:r>
              <w:rPr>
                <w:b w:val="false"/>
                <w:bCs w:val="false"/>
                <w:color w:val="000000"/>
              </w:rPr>
              <w:t xml:space="preserve">Verified event throughput + dbt staging compiles clean</w:t>
            </w:r>
          </w:p>
        </w:tc>
        <w:tc>
          <w:tcPr>
            <w:tcW w:type="dxa" w:w="3300"/>
          </w:tcPr>
          <w:p>
            <w:r>
              <w:rPr>
                <w:b w:val="false"/>
                <w:bCs w:val="false"/>
                <w:color w:val="000000"/>
              </w:rPr>
              <w:t xml:space="preserve">Verified dashboard reads warehouse tables correctly</w:t>
            </w:r>
          </w:p>
        </w:tc>
        <w:tc>
          <w:tcPr>
            <w:tcW w:type="dxa" w:w="1400"/>
          </w:tcPr>
          <w:p>
            <w:r>
              <w:rPr>
                <w:b w:val="false"/>
                <w:bCs w:val="false"/>
                <w:color w:val="000000"/>
              </w:rPr>
              <w:t xml:space="preserve">Complete</w:t>
            </w:r>
          </w:p>
        </w:tc>
      </w:tr>
      <w:tr>
        <w:tc>
          <w:tcPr>
            <w:tcW w:type="dxa" w:w="1500"/>
          </w:tcPr>
          <w:p>
            <w:r>
              <w:rPr>
                <w:b w:val="false"/>
                <w:bCs w:val="false"/>
                <w:color w:val="000000"/>
              </w:rPr>
              <w:t xml:space="preserve">Week 3</w:t>
            </w:r>
          </w:p>
        </w:tc>
        <w:tc>
          <w:tcPr>
            <w:tcW w:type="dxa" w:w="3300"/>
          </w:tcPr>
          <w:p>
            <w:r>
              <w:rPr>
                <w:b w:val="false"/>
                <w:bCs w:val="false"/>
                <w:color w:val="000000"/>
              </w:rPr>
              <w:t xml:space="preserve">Spoilage Arbitrage dbt mart model + tests</w:t>
            </w:r>
          </w:p>
        </w:tc>
        <w:tc>
          <w:tcPr>
            <w:tcW w:type="dxa" w:w="3300"/>
          </w:tcPr>
          <w:p>
            <w:r>
              <w:rPr>
                <w:b w:val="false"/>
                <w:bCs w:val="false"/>
                <w:color w:val="000000"/>
              </w:rPr>
              <w:t xml:space="preserve">Arbitrage recommendation feed + voyage ladder UI</w:t>
            </w:r>
          </w:p>
        </w:tc>
        <w:tc>
          <w:tcPr>
            <w:tcW w:type="dxa" w:w="1400"/>
          </w:tcPr>
          <w:p>
            <w:r>
              <w:rPr>
                <w:b w:val="false"/>
                <w:bCs w:val="false"/>
                <w:color w:val="000000"/>
              </w:rPr>
              <w:t xml:space="preserve">Complete</w:t>
            </w:r>
          </w:p>
        </w:tc>
      </w:tr>
      <w:tr>
        <w:tc>
          <w:tcPr>
            <w:tcW w:type="dxa" w:w="1500"/>
          </w:tcPr>
          <w:p>
            <w:r>
              <w:rPr>
                <w:b w:val="false"/>
                <w:bCs w:val="false"/>
                <w:color w:val="000000"/>
              </w:rPr>
              <w:t xml:space="preserve">Week 4</w:t>
            </w:r>
          </w:p>
        </w:tc>
        <w:tc>
          <w:tcPr>
            <w:tcW w:type="dxa" w:w="3300"/>
          </w:tcPr>
          <w:p>
            <w:r>
              <w:rPr>
                <w:b w:val="false"/>
                <w:bCs w:val="false"/>
                <w:color w:val="000000"/>
              </w:rPr>
              <w:t xml:space="preserve">Bug fix (join fan-out), test suite hardened</w:t>
            </w:r>
          </w:p>
        </w:tc>
        <w:tc>
          <w:tcPr>
            <w:tcW w:type="dxa" w:w="3300"/>
          </w:tcPr>
          <w:p>
            <w:r>
              <w:rPr>
                <w:b w:val="false"/>
                <w:bCs w:val="false"/>
                <w:color w:val="000000"/>
              </w:rPr>
              <w:t xml:space="preserve">Final dashboard polish, footer architecture notes</w:t>
            </w:r>
          </w:p>
        </w:tc>
        <w:tc>
          <w:tcPr>
            <w:tcW w:type="dxa" w:w="1400"/>
          </w:tcPr>
          <w:p>
            <w:r>
              <w:rPr>
                <w:b w:val="false"/>
                <w:bCs w:val="false"/>
                <w:color w:val="000000"/>
              </w:rPr>
              <w:t xml:space="preserve">Complete</w:t>
            </w:r>
          </w:p>
        </w:tc>
      </w:tr>
      <w:tr>
        <w:tc>
          <w:tcPr>
            <w:tcW w:type="dxa" w:w="1500"/>
          </w:tcPr>
          <w:p>
            <w:r>
              <w:rPr>
                <w:b w:val="false"/>
                <w:bCs w:val="false"/>
                <w:color w:val="000000"/>
              </w:rPr>
              <w:t xml:space="preserve">Final Review</w:t>
            </w:r>
          </w:p>
        </w:tc>
        <w:tc>
          <w:tcPr>
            <w:tcW w:type="dxa" w:w="3300"/>
          </w:tcPr>
          <w:p>
            <w:r>
              <w:rPr>
                <w:b w:val="false"/>
                <w:bCs w:val="false"/>
                <w:color w:val="000000"/>
              </w:rPr>
              <w:t xml:space="preserve">Fully working ELT pipeline, all tests passing</w:t>
            </w:r>
          </w:p>
        </w:tc>
        <w:tc>
          <w:tcPr>
            <w:tcW w:type="dxa" w:w="3300"/>
          </w:tcPr>
          <w:p>
            <w:r>
              <w:rPr>
                <w:b w:val="false"/>
                <w:bCs w:val="false"/>
                <w:color w:val="000000"/>
              </w:rPr>
              <w:t xml:space="preserve">Executive dashboard reproducing the brief's use case exactly</w:t>
            </w:r>
          </w:p>
        </w:tc>
        <w:tc>
          <w:tcPr>
            <w:tcW w:type="dxa" w:w="1400"/>
          </w:tcPr>
          <w:p>
            <w:r>
              <w:rPr>
                <w:b w:val="false"/>
                <w:bCs w:val="false"/>
                <w:color w:val="000000"/>
              </w:rPr>
              <w:t xml:space="preserve">Complete</w:t>
            </w:r>
          </w:p>
        </w:tc>
      </w:tr>
    </w:tbl>
    <w:p>
      <w:pPr>
        <w:pStyle w:val="Heading1"/>
        <w:spacing w:after="150" w:before="300"/>
      </w:pPr>
      <w:r>
        <w:t xml:space="preserve">8. Moving to Production</w:t>
      </w:r>
    </w:p>
    <w:p>
      <w:pPr>
        <w:pStyle w:val="ListParagraph"/>
        <w:numPr>
          <w:ilvl w:val="0"/>
          <w:numId w:val="1"/>
        </w:numPr>
        <w:spacing w:after="60"/>
      </w:pPr>
      <w:r>
        <w:t xml:space="preserve">Kafka: stand up a broker (Confluent Cloud / MSK / self-hosted), run 02_kafka_producer_consumer.py's REAL_PRODUCER_CODE / REAL_CONSUMER_CODE blocks against real IoT devices.</w:t>
      </w:r>
    </w:p>
    <w:p>
      <w:pPr>
        <w:pStyle w:val="ListParagraph"/>
        <w:numPr>
          <w:ilvl w:val="0"/>
          <w:numId w:val="1"/>
        </w:numPr>
        <w:spacing w:after="60"/>
      </w:pPr>
      <w:r>
        <w:t xml:space="preserve">Snowflake: create the ATMOSYNC database + warehouse, uncomment the prod target in dbt_project/profiles.yml, set SNOWFLAKE_* environment variables, and run dbt run --target prod. No model SQL changes needed.</w:t>
      </w:r>
    </w:p>
    <w:p>
      <w:pPr>
        <w:pStyle w:val="ListParagraph"/>
        <w:numPr>
          <w:ilvl w:val="0"/>
          <w:numId w:val="1"/>
        </w:numPr>
        <w:spacing w:after="60"/>
      </w:pPr>
      <w:r>
        <w:t xml:space="preserve">Superset: connect a Superset instance to the same Snowflake schema and rebuild the dashboard panels as native Superset charts (Big Number, Time-series Line, Table) pointing at analytics.spoilage_arbitrage and analytics.container_health_snapshot — the HTML dashboard here can serve as the visual spec.</w:t>
      </w:r>
    </w:p>
    <w:p>
      <w:pPr>
        <w:pStyle w:val="ListParagraph"/>
        <w:numPr>
          <w:ilvl w:val="0"/>
          <w:numId w:val="1"/>
        </w:numPr>
        <w:spacing w:after="60"/>
      </w:pPr>
      <w:r>
        <w:t xml:space="preserve">Orchestration: schedule the Kafka consumer + dbt run on a cadence (Airflow/dbt Cloud) and wire Superset/Slack alerts to fire whenever a new row in spoilage_arbitrage has recommendation LIKE 'REROUTE%'.</w:t>
      </w:r>
    </w:p>
    <w:p>
      <w:pPr>
        <w:pStyle w:val="Heading1"/>
        <w:spacing w:after="150" w:before="300"/>
      </w:pPr>
      <w:r>
        <w:t xml:space="preserve">9. Deliverables Included</w:t>
      </w:r>
    </w:p>
    <w:p>
      <w:pPr>
        <w:pStyle w:val="ListParagraph"/>
        <w:numPr>
          <w:ilvl w:val="0"/>
          <w:numId w:val="1"/>
        </w:numPr>
        <w:spacing w:after="60"/>
      </w:pPr>
      <w:r>
        <w:t xml:space="preserve">Python IoT simulator (scripts/01_iot_simulator.py)</w:t>
      </w:r>
    </w:p>
    <w:p>
      <w:pPr>
        <w:pStyle w:val="ListParagraph"/>
        <w:numPr>
          <w:ilvl w:val="0"/>
          <w:numId w:val="1"/>
        </w:numPr>
        <w:spacing w:after="60"/>
      </w:pPr>
      <w:r>
        <w:t xml:space="preserve">Kafka producer/consumer — real + runnable local version (scripts/02_kafka_producer_consumer.py)</w:t>
      </w:r>
    </w:p>
    <w:p>
      <w:pPr>
        <w:pStyle w:val="ListParagraph"/>
        <w:numPr>
          <w:ilvl w:val="0"/>
          <w:numId w:val="1"/>
        </w:numPr>
        <w:spacing w:after="60"/>
      </w:pPr>
      <w:r>
        <w:t xml:space="preserve">Warehouse loader (scripts/03_load_warehouse.py)</w:t>
      </w:r>
    </w:p>
    <w:p>
      <w:pPr>
        <w:pStyle w:val="ListParagraph"/>
        <w:numPr>
          <w:ilvl w:val="0"/>
          <w:numId w:val="1"/>
        </w:numPr>
        <w:spacing w:after="60"/>
      </w:pPr>
      <w:r>
        <w:t xml:space="preserve">Full dbt project — staging models, mart models, schema tests (dbt_project/)</w:t>
      </w:r>
    </w:p>
    <w:p>
      <w:pPr>
        <w:pStyle w:val="ListParagraph"/>
        <w:numPr>
          <w:ilvl w:val="0"/>
          <w:numId w:val="1"/>
        </w:numPr>
        <w:spacing w:after="60"/>
      </w:pPr>
      <w:r>
        <w:t xml:space="preserve">Final output tables (data/final_spoilage_arbitrage.csv, data/final_container_health.csv)</w:t>
      </w:r>
    </w:p>
    <w:p>
      <w:pPr>
        <w:pStyle w:val="ListParagraph"/>
        <w:numPr>
          <w:ilvl w:val="0"/>
          <w:numId w:val="1"/>
        </w:numPr>
        <w:spacing w:after="60"/>
      </w:pPr>
      <w:r>
        <w:t xml:space="preserve">Executive dashboard (atmosync_dashboard.html)</w:t>
      </w:r>
    </w:p>
    <w:p>
      <w:pPr>
        <w:pStyle w:val="ListParagraph"/>
        <w:numPr>
          <w:ilvl w:val="0"/>
          <w:numId w:val="1"/>
        </w:numPr>
        <w:spacing w:after="60"/>
      </w:pPr>
      <w:r>
        <w:t xml:space="preserve">This report (AtmoSync_Project_Report.docx)</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2026-08-26T05:42:01.823Z</dcterms:created>
  <dcterms:modified xsi:type="dcterms:W3CDTF">2026-08-26T05:42:01.823Z</dcterms:modified>
</cp:coreProperties>
</file>

<file path=docProps/custom.xml><?xml version="1.0" encoding="utf-8"?>
<Properties xmlns="http://schemas.openxmlformats.org/officeDocument/2006/custom-properties" xmlns:vt="http://schemas.openxmlformats.org/officeDocument/2006/docPropsVTypes"/>
</file>