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733"/>
          <w:sz w:val="52"/>
          <w:szCs w:val="52"/>
        </w:rPr>
        <w:t xml:space="preserve">AtmoSync — Data Analysis Findings</w:t>
      </w:r>
    </w:p>
    <w:p>
      <w:pPr>
        <w:spacing w:after="300"/>
      </w:pPr>
      <w:r>
        <w:rPr>
          <w:color w:val="B5791F"/>
          <w:sz w:val="26"/>
          <w:szCs w:val="26"/>
        </w:rPr>
        <w:t xml:space="preserve">Fleet Telemetry Analysis: 73,728 readings across 64 containers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Determine which containers in a mixed-cargo reefer fleet are at risk of spoiling before reaching their planned market, and whether rerouting any of them to a nearer secondary market would preserve more value than continuing the original route. This mirrors a real perishables-logistics decision: sensor data alone isn't useful until it's converted into a specific, dollar-denominated action.</w:t>
      </w:r>
    </w:p>
    <w:p>
      <w:pPr>
        <w:pStyle w:val="Heading1"/>
        <w:spacing w:after="150" w:before="300"/>
      </w:pPr>
      <w:r>
        <w:t xml:space="preserve">2.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73,728 sensor readings (temperature, humidity, vibration) — 64 containers x 8 cargo types x 96-hour voyage x 5-minute intervals.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24-row commodity pricing reference table — 1 primary + 2 secondary markets per cargo 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 containers (17%) carry an injected mid-voyage anomaly of varying onset time and severity, simulating real reefer-unit degradation.</w:t>
      </w:r>
    </w:p>
    <w:p>
      <w:pPr>
        <w:pStyle w:val="Heading1"/>
        <w:spacing w:after="150" w:before="300"/>
      </w:pPr>
      <w:r>
        <w:t xml:space="preserve">3. Method</w:t>
      </w:r>
    </w:p>
    <w:p>
      <w:pPr>
        <w:spacing w:after="120"/>
      </w:pPr>
      <w:r>
        <w:t xml:space="preserve">All analysis was performed with Excel formulas over the raw dataset — no pre-aggregated inputs. VLOOKUP pulls each container's ideal storage band and market pricing; AVERAGEIFS computes a trailing 2-hour rolling average of each sensor reading per container; nested IF/AND logic converts that into a risk score, a spoilage timeline, and a final reroute recommendation. See the Container_Analysis and Lookup_Tables sheets in AtmoSync_Data_Analysis.xlsx for the full formula chain.</w:t>
      </w:r>
    </w:p>
    <w:p>
      <w:pPr>
        <w:pStyle w:val="Heading1"/>
        <w:spacing w:after="150" w:before="300"/>
      </w:pPr>
      <w:r>
        <w:t xml:space="preserve">4.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17% of the fleet (11 of 64 containers) shows a Spoilage Risk Index high enough to threaten arrival quality — roughly in line with the ~18% anomaly rate injected into the simulation, which is a good sanity check that the risk scoring isn't over- or under-triggering.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 those 11, 8 have a nearer secondary market that's reachable before spoilage and would net a positive return — a median gain of roughly $1,140 per ton versus continuing to the original destination.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containers are unrecoverable: their onset was fast enough, or severe enough, that no reachable market beats the loss from spoilage. These are flagged, not silently dropped — knowing you can't save a shipment is itself decision-useful, e.g. for insurance claims or upstream root-cause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Asparagus and Avocados carry the highest risk concentration in this fleet (2 and 3 at-risk containers respectively out of 8 each) — both have tight ideal-humidity bands (95% and 90%) which makes them more sensitive to the humidity-deficit term in the risk formula.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Salmon shows the highest per-container arbitrage value when reroutable (~$1,490/ton) — a function of its high base price, so even a modest secondary-market discount still clears a large absolute margin.</w:t>
      </w:r>
    </w:p>
    <w:p>
      <w:pPr>
        <w:pStyle w:val="Heading1"/>
        <w:spacing w:after="150" w:before="300"/>
      </w:pPr>
      <w:r>
        <w:t xml:space="preserve">5. Recommendation</w:t>
      </w:r>
    </w:p>
    <w:p>
      <w:pPr>
        <w:spacing w:after="120"/>
      </w:pPr>
      <w:r>
        <w:t xml:space="preserve">Prioritize reefer-unit maintenance and monitoring on Asparagus and Avocado routes first, since they show the highest at-risk concentration in this fleet. Where a container is flagged at-risk with a positive arbitrage value, reroute immediately — the model's degradation-penalty logic means the case for rerouting only gets weaker the longer the decision is delayed. For the 3 unrecoverable cases, route the finding to claims/insurance workflows rather than logistics, since no shipping action recovers the value.</w:t>
      </w:r>
    </w:p>
    <w:p>
      <w:pPr>
        <w:pStyle w:val="Heading1"/>
        <w:spacing w:after="150" w:before="300"/>
      </w:pPr>
      <w:r>
        <w:t xml:space="preserve">6. How to Extend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Container_Analysis is fully formula-driven — paste in a new Raw_Telemetry export and every downstream number recalculates.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native Excel PivotTable directly on Raw_Telemetry (Insert &gt; PivotTable) to slice by cargo type, transit hour, or origin port beyond what Pivot_Summary covers.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VLOOKUP + AVERAGEIFS + IF pattern used here generalizes to any fleet/asset-monitoring dataset — swap the sensor columns and ideal bands for whatever the domain requires.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2026-08-29T07:17:08.247Z</dcterms:created>
  <dcterms:modified xsi:type="dcterms:W3CDTF">2026-08-29T07:17:08.247Z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