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qt24x7tn9htc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Инструкция к выполнению домашнего задания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Сделайте копию шаблона себе на Google Disk.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Выполните домашнее задание в шаблоне.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Для проверки домашнего задания отправьте ссылку на ваш документ в личном кабинете Нетологии.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Перед тем как выслать ссылку, убедитесь, что ее содержимое не является приватным (открыто на просмотр всем, у кого есть ссылка). Если необходимо прикрепить дополнительные ссылки, просто добавьте их в свой Google Docs.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Любые вопросы по решению задач задавайте в чате учебной группы.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 к обязательному заданию 1.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Активы компании в контенте с ИБ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4410"/>
        <w:gridCol w:w="3990"/>
        <w:tblGridChange w:id="0">
          <w:tblGrid>
            <w:gridCol w:w="600"/>
            <w:gridCol w:w="4410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 основного актива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Федеральный закон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Пример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Персональные данные работников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Пример. 152-ФЗ “О персональных данных”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 к заданию 2 со звездочкой. Активы предприятия на основании Устава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4410"/>
        <w:gridCol w:w="3990"/>
        <w:tblGridChange w:id="0">
          <w:tblGrid>
            <w:gridCol w:w="600"/>
            <w:gridCol w:w="4410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 основного актива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Федеральный закон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Пример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Персональные данные работников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Пример. 152-ФЗ “О персональных данных”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2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2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2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2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Ответ к заданию 3 со звездочкой. Экспертная группа для аудита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110"/>
        <w:gridCol w:w="2145"/>
        <w:gridCol w:w="2145"/>
        <w:tblGridChange w:id="0">
          <w:tblGrid>
            <w:gridCol w:w="630"/>
            <w:gridCol w:w="4110"/>
            <w:gridCol w:w="214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Название роли в экспертной групп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 чем суть роли?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  <w:t xml:space="preserve">Что должен делать эксперт?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 какие вопросы должен ответить эксперт в рамках кейса?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20" w:line="240" w:lineRule="auto"/>
              <w:ind w:firstLine="54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2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2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