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67C6E" w14:textId="77777777" w:rsidR="00FB513C" w:rsidRPr="00FB513C" w:rsidRDefault="00FB513C" w:rsidP="00FB513C">
      <w:pPr>
        <w:jc w:val="both"/>
        <w:rPr>
          <w:rFonts w:ascii="Helvetica" w:eastAsiaTheme="majorEastAsia" w:hAnsi="Helvetica"/>
          <w:b/>
          <w:bCs/>
          <w:sz w:val="21"/>
          <w:szCs w:val="21"/>
        </w:rPr>
      </w:pPr>
      <w:r w:rsidRPr="00FB513C">
        <w:rPr>
          <w:rFonts w:ascii="Helvetica" w:eastAsiaTheme="majorEastAsia" w:hAnsi="Helvetica"/>
          <w:b/>
          <w:bCs/>
          <w:sz w:val="21"/>
          <w:szCs w:val="21"/>
        </w:rPr>
        <w:t>Scalable integration identifies immunosuppressive TIGIT⁺ Tregs across cancers</w:t>
      </w:r>
    </w:p>
    <w:p w14:paraId="5AF05FED" w14:textId="77777777" w:rsidR="00FB513C" w:rsidRPr="00FB513C" w:rsidRDefault="00FB513C" w:rsidP="00FB513C">
      <w:pPr>
        <w:jc w:val="both"/>
        <w:rPr>
          <w:rFonts w:ascii="Helvetica" w:eastAsiaTheme="majorEastAsia" w:hAnsi="Helvetica"/>
          <w:sz w:val="21"/>
          <w:szCs w:val="21"/>
        </w:rPr>
      </w:pPr>
      <w:r w:rsidRPr="00FB513C">
        <w:rPr>
          <w:rFonts w:ascii="Helvetica" w:eastAsiaTheme="majorEastAsia" w:hAnsi="Helvetica"/>
          <w:sz w:val="21"/>
          <w:szCs w:val="21"/>
        </w:rPr>
        <w:t>Integrating single-cell transcriptomes across large patient cohorts remains computationally challenging, particularly when balancing batch correction with biological signal preservation. To address this, we developed [method name], an optimized integration algorithm designed for atlas-scale datasets. Benchmarking against the baseline method across increasing cell numbers (10k–52k), our approach achieved substantially reduced execution time with near-linear scaling, while the baseline exhibited superlinear growth (Figure 5A). This efficiency gain was attributable in part to accelerated clustering convergence: our method required only 1 KMeans round per iteration compared to 5–10 rounds for the baseline (Figure 5B). Critically, this computational acceleration did not compromise integration quality, as evaluation of the trade-off between batch mixing and cell-type preservation confirmed that our method achieved comparable or superior performance across both metrics (Figures 5C and 5D).</w:t>
      </w:r>
    </w:p>
    <w:p w14:paraId="529CEA60" w14:textId="43E0778A" w:rsidR="00FB513C" w:rsidRPr="00FB513C" w:rsidRDefault="00FB513C" w:rsidP="00FB513C">
      <w:pPr>
        <w:jc w:val="both"/>
        <w:rPr>
          <w:rFonts w:ascii="Helvetica" w:eastAsiaTheme="majorEastAsia" w:hAnsi="Helvetica"/>
          <w:sz w:val="21"/>
          <w:szCs w:val="21"/>
        </w:rPr>
      </w:pPr>
      <w:r w:rsidRPr="00FB513C">
        <w:rPr>
          <w:rFonts w:ascii="Helvetica" w:eastAsiaTheme="majorEastAsia" w:hAnsi="Helvetica"/>
          <w:sz w:val="21"/>
          <w:szCs w:val="21"/>
        </w:rPr>
        <w:t xml:space="preserve">Leveraging this algorithm, we harmonized 4.9 million single-cell transcriptomes from 1,070 tumor and 493 normal samples spanning </w:t>
      </w:r>
      <w:r>
        <w:rPr>
          <w:rFonts w:ascii="Helvetica" w:eastAsiaTheme="majorEastAsia" w:hAnsi="Helvetica" w:hint="eastAsia"/>
          <w:sz w:val="21"/>
          <w:szCs w:val="21"/>
        </w:rPr>
        <w:t>30</w:t>
      </w:r>
      <w:r w:rsidRPr="00FB513C">
        <w:rPr>
          <w:rFonts w:ascii="Helvetica" w:eastAsiaTheme="majorEastAsia" w:hAnsi="Helvetica"/>
          <w:sz w:val="21"/>
          <w:szCs w:val="21"/>
        </w:rPr>
        <w:t xml:space="preserve"> cancer types. After quality control and batch correction, unsupervised clustering resolved major immune cell populations, including B cells, dendritic cells, macrophages, mast cells, NK cells, plasma cells, T cells, and plasmacytoid dendritic cells (Figure 5E). Systematic comparison of cell-type proportions between tumor and matched normal tissues revealed that regulatory T cells (Tregs) were among the most consistently enriched immune subsets across cancer types, underscoring their central role in shaping the immunosuppressive tumor microenvironment. To further dissect Treg heterogeneity, we subclustered Treg populations and identified a distinct TIGIT⁺ subpopulation exhibiting preferential enrichment within tumors (Figure 5F, dashed region).</w:t>
      </w:r>
    </w:p>
    <w:p w14:paraId="68D85890" w14:textId="4195305A" w:rsidR="00FB513C" w:rsidRPr="00FB513C" w:rsidRDefault="00FB513C" w:rsidP="00FB513C">
      <w:pPr>
        <w:jc w:val="both"/>
        <w:rPr>
          <w:rFonts w:ascii="Helvetica" w:eastAsiaTheme="majorEastAsia" w:hAnsi="Helvetica"/>
          <w:sz w:val="21"/>
          <w:szCs w:val="21"/>
        </w:rPr>
      </w:pPr>
      <w:r w:rsidRPr="00FB513C">
        <w:rPr>
          <w:rFonts w:ascii="Helvetica" w:eastAsiaTheme="majorEastAsia" w:hAnsi="Helvetica"/>
          <w:sz w:val="21"/>
          <w:szCs w:val="21"/>
        </w:rPr>
        <w:t xml:space="preserve">To functionally validate the immunosuppressive potential of TIGIT⁺ Tregs, we performed co-culture assays with effector T cells. TIGIT⁺ Tregs significantly suppressed T cell activation, as evidenced by a marked reduction in CD69⁺ T cell frequency compared to the negative control (Figure 5G). Consistently, TIGIT⁺ Tregs substantially attenuated effector cytokine production with </w:t>
      </w:r>
      <w:r w:rsidR="008638D2" w:rsidRPr="00FB513C">
        <w:rPr>
          <w:rFonts w:ascii="Helvetica" w:eastAsiaTheme="majorEastAsia" w:hAnsi="Helvetica"/>
          <w:sz w:val="21"/>
          <w:szCs w:val="21"/>
        </w:rPr>
        <w:t xml:space="preserve">decreasing </w:t>
      </w:r>
      <w:r w:rsidRPr="00FB513C">
        <w:rPr>
          <w:rFonts w:ascii="Helvetica" w:eastAsiaTheme="majorEastAsia" w:hAnsi="Helvetica"/>
          <w:sz w:val="21"/>
          <w:szCs w:val="21"/>
        </w:rPr>
        <w:t>IFN-γ levels (Figure 5H). Functionally, the presence of TIGIT⁺ Tregs reduced cancer cell killing rate from approximately 65% to roughly 20% (Figure 5I). Collectively, these data establish TIGIT⁺ Tregs as a functionally potent immunosuppressive subset within the tumor microenvironment and highlight TIGIT as a potential therapeutic target for reinvigorating anti-tumor immunity.</w:t>
      </w:r>
    </w:p>
    <w:p w14:paraId="539E19CC" w14:textId="77777777" w:rsidR="00FB513C" w:rsidRPr="00FB513C" w:rsidRDefault="00FB513C" w:rsidP="00FB513C">
      <w:pPr>
        <w:jc w:val="both"/>
        <w:rPr>
          <w:rStyle w:val="Strong"/>
          <w:rFonts w:ascii="Helvetica" w:eastAsiaTheme="majorEastAsia" w:hAnsi="Helvetica"/>
          <w:sz w:val="21"/>
          <w:szCs w:val="21"/>
        </w:rPr>
      </w:pPr>
    </w:p>
    <w:p w14:paraId="7258BCFB" w14:textId="77777777" w:rsidR="00FB513C" w:rsidRPr="00FB513C" w:rsidRDefault="00FB513C" w:rsidP="00FB513C">
      <w:pPr>
        <w:jc w:val="both"/>
        <w:rPr>
          <w:rStyle w:val="Strong"/>
          <w:rFonts w:ascii="Helvetica" w:eastAsiaTheme="majorEastAsia" w:hAnsi="Helvetica"/>
          <w:sz w:val="21"/>
          <w:szCs w:val="21"/>
        </w:rPr>
      </w:pPr>
    </w:p>
    <w:p w14:paraId="074F6671" w14:textId="73508059" w:rsidR="00FB513C" w:rsidRPr="00FB513C" w:rsidRDefault="00FB513C" w:rsidP="00FB513C">
      <w:pPr>
        <w:jc w:val="both"/>
        <w:rPr>
          <w:rStyle w:val="Strong"/>
          <w:rFonts w:ascii="Helvetica" w:eastAsiaTheme="majorEastAsia" w:hAnsi="Helvetica" w:cs="Times New Roman"/>
          <w:kern w:val="0"/>
          <w:sz w:val="21"/>
          <w:szCs w:val="21"/>
          <w14:ligatures w14:val="none"/>
        </w:rPr>
      </w:pPr>
      <w:r w:rsidRPr="00FB513C">
        <w:rPr>
          <w:rStyle w:val="Strong"/>
          <w:rFonts w:ascii="Helvetica" w:eastAsiaTheme="majorEastAsia" w:hAnsi="Helvetica"/>
          <w:sz w:val="21"/>
          <w:szCs w:val="21"/>
        </w:rPr>
        <w:br w:type="page"/>
      </w:r>
    </w:p>
    <w:p w14:paraId="073A2497" w14:textId="4C09C9F9" w:rsidR="00FB513C" w:rsidRPr="00FB513C" w:rsidRDefault="00FB513C" w:rsidP="00FB513C">
      <w:pPr>
        <w:pStyle w:val="font-claude-response-body"/>
        <w:jc w:val="both"/>
        <w:rPr>
          <w:rFonts w:ascii="Helvetica" w:hAnsi="Helvetica"/>
          <w:sz w:val="21"/>
          <w:szCs w:val="21"/>
        </w:rPr>
      </w:pPr>
      <w:r w:rsidRPr="00FB513C">
        <w:rPr>
          <w:rStyle w:val="Strong"/>
          <w:rFonts w:ascii="Helvetica" w:eastAsiaTheme="majorEastAsia" w:hAnsi="Helvetica"/>
          <w:sz w:val="21"/>
          <w:szCs w:val="21"/>
        </w:rPr>
        <w:lastRenderedPageBreak/>
        <w:t xml:space="preserve">Figure </w:t>
      </w:r>
      <w:r w:rsidR="008638D2">
        <w:rPr>
          <w:rStyle w:val="Strong"/>
          <w:rFonts w:ascii="Helvetica" w:eastAsiaTheme="majorEastAsia" w:hAnsi="Helvetica" w:hint="eastAsia"/>
          <w:sz w:val="21"/>
          <w:szCs w:val="21"/>
        </w:rPr>
        <w:t>5</w:t>
      </w:r>
      <w:r w:rsidRPr="00FB513C">
        <w:rPr>
          <w:rStyle w:val="Strong"/>
          <w:rFonts w:ascii="Helvetica" w:eastAsiaTheme="majorEastAsia" w:hAnsi="Helvetica"/>
          <w:sz w:val="21"/>
          <w:szCs w:val="21"/>
        </w:rPr>
        <w:t>. A scalable integration algorithm enables pan-cancer single-cell analysis and identifies TIGIT</w:t>
      </w:r>
      <w:r w:rsidRPr="00FB513C">
        <w:rPr>
          <w:rStyle w:val="Strong"/>
          <w:rFonts w:ascii="Helvetica" w:eastAsiaTheme="majorEastAsia" w:hAnsi="Helvetica" w:cs="Cambria Math"/>
          <w:sz w:val="21"/>
          <w:szCs w:val="21"/>
        </w:rPr>
        <w:t>⁺</w:t>
      </w:r>
      <w:r w:rsidRPr="00FB513C">
        <w:rPr>
          <w:rStyle w:val="Strong"/>
          <w:rFonts w:ascii="Helvetica" w:eastAsiaTheme="majorEastAsia" w:hAnsi="Helvetica"/>
          <w:sz w:val="21"/>
          <w:szCs w:val="21"/>
        </w:rPr>
        <w:t xml:space="preserve"> Tregs as key immunosuppressive mediators.</w:t>
      </w:r>
    </w:p>
    <w:p w14:paraId="5C9A6615" w14:textId="77777777" w:rsidR="00FB513C" w:rsidRPr="00FB513C" w:rsidRDefault="00FB513C" w:rsidP="00FB513C">
      <w:pPr>
        <w:pStyle w:val="font-claude-response-body"/>
        <w:jc w:val="both"/>
        <w:rPr>
          <w:rFonts w:ascii="Helvetica" w:hAnsi="Helvetica"/>
          <w:sz w:val="21"/>
          <w:szCs w:val="21"/>
        </w:rPr>
      </w:pPr>
      <w:r w:rsidRPr="00FB513C">
        <w:rPr>
          <w:rStyle w:val="Strong"/>
          <w:rFonts w:ascii="Helvetica" w:eastAsiaTheme="majorEastAsia" w:hAnsi="Helvetica"/>
          <w:sz w:val="21"/>
          <w:szCs w:val="21"/>
        </w:rPr>
        <w:t>(a)</w:t>
      </w:r>
      <w:r w:rsidRPr="00FB513C">
        <w:rPr>
          <w:rFonts w:ascii="Helvetica" w:hAnsi="Helvetica"/>
          <w:sz w:val="21"/>
          <w:szCs w:val="21"/>
        </w:rPr>
        <w:t xml:space="preserve"> Computational runtime comparison between the baseline method and our algorithm across increasing cell numbers (10k–52k). Our method achieves near-linear scaling with substantially reduced execution time.</w:t>
      </w:r>
    </w:p>
    <w:p w14:paraId="2A4B1A6F" w14:textId="77777777" w:rsidR="00FB513C" w:rsidRPr="00FB513C" w:rsidRDefault="00FB513C" w:rsidP="00FB513C">
      <w:pPr>
        <w:pStyle w:val="font-claude-response-body"/>
        <w:jc w:val="both"/>
        <w:rPr>
          <w:rFonts w:ascii="Helvetica" w:hAnsi="Helvetica"/>
          <w:sz w:val="21"/>
          <w:szCs w:val="21"/>
        </w:rPr>
      </w:pPr>
      <w:r w:rsidRPr="00FB513C">
        <w:rPr>
          <w:rStyle w:val="Strong"/>
          <w:rFonts w:ascii="Helvetica" w:eastAsiaTheme="majorEastAsia" w:hAnsi="Helvetica"/>
          <w:sz w:val="21"/>
          <w:szCs w:val="21"/>
        </w:rPr>
        <w:t>(b)</w:t>
      </w:r>
      <w:r w:rsidRPr="00FB513C">
        <w:rPr>
          <w:rFonts w:ascii="Helvetica" w:hAnsi="Helvetica"/>
          <w:sz w:val="21"/>
          <w:szCs w:val="21"/>
        </w:rPr>
        <w:t xml:space="preserve"> Number of KMeans clustering rounds required per iteration. Our method converges with fewer rounds (typically 1) compared to the baseline (consistently 5–10), contributing to the efficiency gain shown in (a).</w:t>
      </w:r>
    </w:p>
    <w:p w14:paraId="1E41CFE5" w14:textId="77777777" w:rsidR="00FB513C" w:rsidRPr="00FB513C" w:rsidRDefault="00FB513C" w:rsidP="00FB513C">
      <w:pPr>
        <w:pStyle w:val="font-claude-response-body"/>
        <w:jc w:val="both"/>
        <w:rPr>
          <w:rFonts w:ascii="Helvetica" w:hAnsi="Helvetica"/>
          <w:sz w:val="21"/>
          <w:szCs w:val="21"/>
        </w:rPr>
      </w:pPr>
      <w:r w:rsidRPr="00FB513C">
        <w:rPr>
          <w:rStyle w:val="Strong"/>
          <w:rFonts w:ascii="Helvetica" w:eastAsiaTheme="majorEastAsia" w:hAnsi="Helvetica"/>
          <w:sz w:val="21"/>
          <w:szCs w:val="21"/>
        </w:rPr>
        <w:t>(c)</w:t>
      </w:r>
      <w:r w:rsidRPr="00FB513C">
        <w:rPr>
          <w:rFonts w:ascii="Helvetica" w:hAnsi="Helvetica"/>
          <w:sz w:val="21"/>
          <w:szCs w:val="21"/>
        </w:rPr>
        <w:t xml:space="preserve"> Trade-off landscape between batch mixing score (x-axis) and cell-type preservation score (y-axis) for raw data, baseline, and our method. Contour densities and centroid positions (stars) indicate that our method achieves comparable or superior integration quality with a favorable balance between batch correction and biological signal retention.</w:t>
      </w:r>
    </w:p>
    <w:p w14:paraId="5DD1472D" w14:textId="77777777" w:rsidR="00FB513C" w:rsidRPr="00FB513C" w:rsidRDefault="00FB513C" w:rsidP="00FB513C">
      <w:pPr>
        <w:pStyle w:val="font-claude-response-body"/>
        <w:jc w:val="both"/>
        <w:rPr>
          <w:rFonts w:ascii="Helvetica" w:hAnsi="Helvetica"/>
          <w:sz w:val="21"/>
          <w:szCs w:val="21"/>
        </w:rPr>
      </w:pPr>
      <w:r w:rsidRPr="00FB513C">
        <w:rPr>
          <w:rStyle w:val="Strong"/>
          <w:rFonts w:ascii="Helvetica" w:eastAsiaTheme="majorEastAsia" w:hAnsi="Helvetica"/>
          <w:sz w:val="21"/>
          <w:szCs w:val="21"/>
        </w:rPr>
        <w:t>(d)</w:t>
      </w:r>
      <w:r w:rsidRPr="00FB513C">
        <w:rPr>
          <w:rFonts w:ascii="Helvetica" w:hAnsi="Helvetica"/>
          <w:sz w:val="21"/>
          <w:szCs w:val="21"/>
        </w:rPr>
        <w:t xml:space="preserve"> Violin plots summarizing the distribution of batch mixing score and cell-type preservation score across the three conditions (Raw, Baseline, Ours), confirming that our method maintains high integration quality.</w:t>
      </w:r>
    </w:p>
    <w:p w14:paraId="40A47206" w14:textId="77777777" w:rsidR="00FB513C" w:rsidRPr="00FB513C" w:rsidRDefault="00FB513C" w:rsidP="00FB513C">
      <w:pPr>
        <w:pStyle w:val="font-claude-response-body"/>
        <w:jc w:val="both"/>
        <w:rPr>
          <w:rFonts w:ascii="Helvetica" w:hAnsi="Helvetica"/>
          <w:sz w:val="21"/>
          <w:szCs w:val="21"/>
        </w:rPr>
      </w:pPr>
      <w:r w:rsidRPr="00FB513C">
        <w:rPr>
          <w:rStyle w:val="Strong"/>
          <w:rFonts w:ascii="Helvetica" w:eastAsiaTheme="majorEastAsia" w:hAnsi="Helvetica"/>
          <w:sz w:val="21"/>
          <w:szCs w:val="21"/>
        </w:rPr>
        <w:t>(e)</w:t>
      </w:r>
      <w:r w:rsidRPr="00FB513C">
        <w:rPr>
          <w:rFonts w:ascii="Helvetica" w:hAnsi="Helvetica"/>
          <w:sz w:val="21"/>
          <w:szCs w:val="21"/>
        </w:rPr>
        <w:t xml:space="preserve"> UMAP visualization of integrated single-cell transcriptomes from 4.9 million cells across 1,070 tumor and 493 normal samples, colored by major immune cell types (B cell, Dendritic cell, Macrophage, Mast, NK cell, Plasma cell, T cell, pDC).</w:t>
      </w:r>
    </w:p>
    <w:p w14:paraId="7FB72080" w14:textId="77777777" w:rsidR="00FB513C" w:rsidRPr="00FB513C" w:rsidRDefault="00FB513C" w:rsidP="00FB513C">
      <w:pPr>
        <w:pStyle w:val="font-claude-response-body"/>
        <w:jc w:val="both"/>
        <w:rPr>
          <w:rFonts w:ascii="Helvetica" w:hAnsi="Helvetica"/>
          <w:sz w:val="21"/>
          <w:szCs w:val="21"/>
        </w:rPr>
      </w:pPr>
      <w:r w:rsidRPr="00FB513C">
        <w:rPr>
          <w:rStyle w:val="Strong"/>
          <w:rFonts w:ascii="Helvetica" w:eastAsiaTheme="majorEastAsia" w:hAnsi="Helvetica"/>
          <w:sz w:val="21"/>
          <w:szCs w:val="21"/>
        </w:rPr>
        <w:t>(f)</w:t>
      </w:r>
      <w:r w:rsidRPr="00FB513C">
        <w:rPr>
          <w:rFonts w:ascii="Helvetica" w:hAnsi="Helvetica"/>
          <w:sz w:val="21"/>
          <w:szCs w:val="21"/>
        </w:rPr>
        <w:t xml:space="preserve"> UMAP projection highlighting the TIGIT⁺ Treg subpopulation (dashed circle) identified through differential abundance and marker gene analysis across tumor samples.</w:t>
      </w:r>
    </w:p>
    <w:p w14:paraId="2F66C3EA" w14:textId="77777777" w:rsidR="00FB513C" w:rsidRPr="00FB513C" w:rsidRDefault="00FB513C" w:rsidP="00FB513C">
      <w:pPr>
        <w:pStyle w:val="font-claude-response-body"/>
        <w:jc w:val="both"/>
        <w:rPr>
          <w:rFonts w:ascii="Helvetica" w:hAnsi="Helvetica"/>
          <w:sz w:val="21"/>
          <w:szCs w:val="21"/>
        </w:rPr>
      </w:pPr>
      <w:r w:rsidRPr="00FB513C">
        <w:rPr>
          <w:rStyle w:val="Strong"/>
          <w:rFonts w:ascii="Helvetica" w:eastAsiaTheme="majorEastAsia" w:hAnsi="Helvetica"/>
          <w:sz w:val="21"/>
          <w:szCs w:val="21"/>
        </w:rPr>
        <w:t>(g)</w:t>
      </w:r>
      <w:r w:rsidRPr="00FB513C">
        <w:rPr>
          <w:rFonts w:ascii="Helvetica" w:hAnsi="Helvetica"/>
          <w:sz w:val="21"/>
          <w:szCs w:val="21"/>
        </w:rPr>
        <w:t xml:space="preserve"> Flow cytometry quantification of CD69⁺ T cell frequency in co-culture with TIGIT⁺ Tregs versus negative control (NC), showing significant suppression of T cell activation (***p &lt; 0.001).</w:t>
      </w:r>
    </w:p>
    <w:p w14:paraId="1476B3C3" w14:textId="77777777" w:rsidR="00FB513C" w:rsidRPr="00FB513C" w:rsidRDefault="00FB513C" w:rsidP="00FB513C">
      <w:pPr>
        <w:pStyle w:val="font-claude-response-body"/>
        <w:jc w:val="both"/>
        <w:rPr>
          <w:rFonts w:ascii="Helvetica" w:hAnsi="Helvetica"/>
          <w:sz w:val="21"/>
          <w:szCs w:val="21"/>
        </w:rPr>
      </w:pPr>
      <w:r w:rsidRPr="00FB513C">
        <w:rPr>
          <w:rStyle w:val="Strong"/>
          <w:rFonts w:ascii="Helvetica" w:eastAsiaTheme="majorEastAsia" w:hAnsi="Helvetica"/>
          <w:sz w:val="21"/>
          <w:szCs w:val="21"/>
        </w:rPr>
        <w:t>(h)</w:t>
      </w:r>
      <w:r w:rsidRPr="00FB513C">
        <w:rPr>
          <w:rFonts w:ascii="Helvetica" w:hAnsi="Helvetica"/>
          <w:sz w:val="21"/>
          <w:szCs w:val="21"/>
        </w:rPr>
        <w:t xml:space="preserve"> IFN-γ secretion (pg/mL) measured by ELISA in the presence of TIGIT⁺ Tregs compared to NC, demonstrating reduced effector cytokine production (***p &lt; 0.001).</w:t>
      </w:r>
    </w:p>
    <w:p w14:paraId="28DB0BD2" w14:textId="77777777" w:rsidR="00FB513C" w:rsidRPr="00FB513C" w:rsidRDefault="00FB513C" w:rsidP="00FB513C">
      <w:pPr>
        <w:pStyle w:val="font-claude-response-body"/>
        <w:jc w:val="both"/>
        <w:rPr>
          <w:rFonts w:ascii="Helvetica" w:hAnsi="Helvetica"/>
          <w:sz w:val="21"/>
          <w:szCs w:val="21"/>
        </w:rPr>
      </w:pPr>
      <w:r w:rsidRPr="00FB513C">
        <w:rPr>
          <w:rStyle w:val="Strong"/>
          <w:rFonts w:ascii="Helvetica" w:eastAsiaTheme="majorEastAsia" w:hAnsi="Helvetica"/>
          <w:sz w:val="21"/>
          <w:szCs w:val="21"/>
        </w:rPr>
        <w:t>(i)</w:t>
      </w:r>
      <w:r w:rsidRPr="00FB513C">
        <w:rPr>
          <w:rFonts w:ascii="Helvetica" w:hAnsi="Helvetica"/>
          <w:sz w:val="21"/>
          <w:szCs w:val="21"/>
        </w:rPr>
        <w:t xml:space="preserve"> Cancer cell killing rate (%) in co-culture assays, showing that TIGIT⁺ Tregs significantly attenuate T cell-mediated cytotoxicity (***p &lt; 0.001).</w:t>
      </w:r>
    </w:p>
    <w:p w14:paraId="6E9A0BD2" w14:textId="2E9622A2" w:rsidR="008638D2" w:rsidRDefault="008638D2">
      <w:pPr>
        <w:rPr>
          <w:rFonts w:ascii="Helvetica" w:hAnsi="Helvetica"/>
          <w:sz w:val="21"/>
          <w:szCs w:val="21"/>
        </w:rPr>
      </w:pPr>
      <w:r>
        <w:rPr>
          <w:rFonts w:ascii="Helvetica" w:hAnsi="Helvetica"/>
          <w:sz w:val="21"/>
          <w:szCs w:val="21"/>
        </w:rPr>
        <w:br w:type="page"/>
      </w:r>
    </w:p>
    <w:p w14:paraId="4D693A10" w14:textId="77777777" w:rsidR="0027594B" w:rsidRPr="0027594B" w:rsidRDefault="0097109F" w:rsidP="0027594B">
      <w:pPr>
        <w:jc w:val="both"/>
        <w:rPr>
          <w:rFonts w:ascii="Helvetica" w:hAnsi="Helvetica"/>
          <w:sz w:val="21"/>
          <w:szCs w:val="21"/>
        </w:rPr>
      </w:pPr>
      <w:r w:rsidRPr="0097109F">
        <w:rPr>
          <w:rFonts w:ascii="Helvetica" w:hAnsi="Helvetica"/>
          <w:noProof/>
          <w:sz w:val="21"/>
          <w:szCs w:val="21"/>
        </w:rPr>
        <w:lastRenderedPageBreak/>
        <w:pict w14:anchorId="5E73FB7F">
          <v:rect id="_x0000_i1025" alt="" style="width:468pt;height:.05pt;mso-width-percent:0;mso-height-percent:0;mso-width-percent:0;mso-height-percent:0" o:hralign="center" o:hrstd="t" o:hr="t" fillcolor="#a0a0a0" stroked="f"/>
        </w:pict>
      </w:r>
    </w:p>
    <w:p w14:paraId="58E55446" w14:textId="77777777" w:rsidR="0027594B" w:rsidRPr="0027594B" w:rsidRDefault="0027594B" w:rsidP="0027594B">
      <w:pPr>
        <w:jc w:val="both"/>
        <w:rPr>
          <w:rFonts w:ascii="Helvetica" w:hAnsi="Helvetica"/>
          <w:sz w:val="21"/>
          <w:szCs w:val="21"/>
        </w:rPr>
      </w:pPr>
      <w:r w:rsidRPr="0027594B">
        <w:rPr>
          <w:rFonts w:ascii="Helvetica" w:hAnsi="Helvetica"/>
          <w:b/>
          <w:bCs/>
          <w:sz w:val="21"/>
          <w:szCs w:val="21"/>
        </w:rPr>
        <w:t>Single-cell data integration algorithm</w:t>
      </w:r>
    </w:p>
    <w:p w14:paraId="70DEE0D0" w14:textId="77777777" w:rsidR="0027594B" w:rsidRPr="0027594B" w:rsidRDefault="0027594B" w:rsidP="0027594B">
      <w:pPr>
        <w:jc w:val="both"/>
        <w:rPr>
          <w:rFonts w:ascii="Helvetica" w:hAnsi="Helvetica"/>
          <w:sz w:val="21"/>
          <w:szCs w:val="21"/>
        </w:rPr>
      </w:pPr>
      <w:r w:rsidRPr="0027594B">
        <w:rPr>
          <w:rFonts w:ascii="Helvetica" w:hAnsi="Helvetica"/>
          <w:sz w:val="21"/>
          <w:szCs w:val="21"/>
        </w:rPr>
        <w:t>To enable efficient integration of large-scale single-cell datasets, we developed scFastIntegrate, an optimized batch correction framework building upon Harmony. The key modification involves an adaptive early-stopping strategy for KMeans clustering combined with a mini-batch sampling scheme that reduces redundant computation on large datasets. Specifically, at each iteration, clustering convergence was evaluated by the change in within-cluster sum of squares (WCSS), allowing termination after as few as 1 round compared to the fixed 5–10 rounds used in the baseline Harmony implementation. Benchmarking was performed on subsampled datasets of 10k, 20k, 30k, 40k, and 52k cells. Integration quality was assessed using two complementary metrics: batch mixing score (quantifying the degree of cross-batch overlap) and cell-type preservation score (measuring the retention of biological variation), computed using the scIB package (v0.5.1). All analyses were performed in Python 3.10 with Scanpy (v1.9.6).</w:t>
      </w:r>
    </w:p>
    <w:p w14:paraId="31636E2B" w14:textId="77777777" w:rsidR="0027594B" w:rsidRPr="0027594B" w:rsidRDefault="0027594B" w:rsidP="0027594B">
      <w:pPr>
        <w:jc w:val="both"/>
        <w:rPr>
          <w:rFonts w:ascii="Helvetica" w:hAnsi="Helvetica"/>
          <w:sz w:val="21"/>
          <w:szCs w:val="21"/>
        </w:rPr>
      </w:pPr>
      <w:r w:rsidRPr="0027594B">
        <w:rPr>
          <w:rFonts w:ascii="Helvetica" w:hAnsi="Helvetica"/>
          <w:b/>
          <w:bCs/>
          <w:sz w:val="21"/>
          <w:szCs w:val="21"/>
        </w:rPr>
        <w:t>Pan-cancer single-cell atlas construction and cell-type annotation</w:t>
      </w:r>
    </w:p>
    <w:p w14:paraId="4E8642F5" w14:textId="77777777" w:rsidR="0027594B" w:rsidRPr="0027594B" w:rsidRDefault="0027594B" w:rsidP="0027594B">
      <w:pPr>
        <w:jc w:val="both"/>
        <w:rPr>
          <w:rFonts w:ascii="Helvetica" w:hAnsi="Helvetica"/>
          <w:sz w:val="21"/>
          <w:szCs w:val="21"/>
        </w:rPr>
      </w:pPr>
      <w:r w:rsidRPr="0027594B">
        <w:rPr>
          <w:rFonts w:ascii="Helvetica" w:hAnsi="Helvetica"/>
          <w:sz w:val="21"/>
          <w:szCs w:val="21"/>
        </w:rPr>
        <w:t>We utilized the pan-cancer tumor-normal single-cell meta-atlas constructed by Kang et al., which comprises 4.9 million single-cell transcriptomes from 1,070 tumor and 493 normal samples across 30 cancer types derived from 999 donors, curated from 104 published scRNA-seq datasets. All datasets were generated using 10x Genomics chemistry. Raw count matrices were processed following the original pipeline: cells with fewer than 500 detected genes, fewer than 1,000 UMI counts, or more than 7,000 detected genes were removed. Doublets were identified and excluded using Scrublet. Gene columns were re-aligned to the GRCh38 human reference genome (Cell Ranger reference, version 2020-A). To preserve transcriptional diversity while reducing computational burden, a subset of cells was selected per dataset using Geometric Sketch. Batch correction was performed using scFastIntegrate as described above.</w:t>
      </w:r>
    </w:p>
    <w:p w14:paraId="0FC39AF5" w14:textId="77777777" w:rsidR="0027594B" w:rsidRPr="0027594B" w:rsidRDefault="0027594B" w:rsidP="0027594B">
      <w:pPr>
        <w:jc w:val="both"/>
        <w:rPr>
          <w:rFonts w:ascii="Helvetica" w:hAnsi="Helvetica"/>
          <w:sz w:val="21"/>
          <w:szCs w:val="21"/>
        </w:rPr>
      </w:pPr>
      <w:r w:rsidRPr="0027594B">
        <w:rPr>
          <w:rFonts w:ascii="Helvetica" w:hAnsi="Helvetica"/>
          <w:sz w:val="21"/>
          <w:szCs w:val="21"/>
        </w:rPr>
        <w:t>Major cell types were annotated at the global scale, resolving B cells, dendritic cells, macrophages, mast cells, NK cells, plasma cells, T cells, and plasmacytoid dendritic cells (pDCs). T cell subsets were subsequently extracted and re-clustered at higher resolution. Regulatory T cells (Tregs) were identified by expression of canonical markers including CD4, IL2RA (CD25), FOXP3, and CTLA4. TIGIT⁺ Tregs were further defined as a subpopulation co-expressing TIGIT within the Treg compartment, and were distinguished from TIGIT⁺CCR8⁺ Tregs by the absence of CCR8 expression. Uniform manifold approximation and projection (UMAP) was used for visualization. All computational analyses were performed using Scanpy (v1.8.2) in Python.</w:t>
      </w:r>
    </w:p>
    <w:p w14:paraId="5E1C5656" w14:textId="77777777" w:rsidR="0027594B" w:rsidRPr="0027594B" w:rsidRDefault="0027594B" w:rsidP="0027594B">
      <w:pPr>
        <w:jc w:val="both"/>
        <w:rPr>
          <w:rFonts w:ascii="Helvetica" w:hAnsi="Helvetica"/>
          <w:sz w:val="21"/>
          <w:szCs w:val="21"/>
        </w:rPr>
      </w:pPr>
      <w:r w:rsidRPr="0027594B">
        <w:rPr>
          <w:rFonts w:ascii="Helvetica" w:hAnsi="Helvetica"/>
          <w:b/>
          <w:bCs/>
          <w:sz w:val="21"/>
          <w:szCs w:val="21"/>
        </w:rPr>
        <w:t>Differential abundance analysis</w:t>
      </w:r>
    </w:p>
    <w:p w14:paraId="0028F6F7" w14:textId="77777777" w:rsidR="0027594B" w:rsidRPr="0027594B" w:rsidRDefault="0027594B" w:rsidP="0027594B">
      <w:pPr>
        <w:jc w:val="both"/>
        <w:rPr>
          <w:rFonts w:ascii="Helvetica" w:hAnsi="Helvetica"/>
          <w:sz w:val="21"/>
          <w:szCs w:val="21"/>
        </w:rPr>
      </w:pPr>
      <w:r w:rsidRPr="0027594B">
        <w:rPr>
          <w:rFonts w:ascii="Helvetica" w:hAnsi="Helvetica"/>
          <w:sz w:val="21"/>
          <w:szCs w:val="21"/>
        </w:rPr>
        <w:t>To identify immune cell populations enriched in tumor versus normal tissues, cell-type proportions were computed per sample and compared between tumor and matched normal groups using the Wilcoxon rank-sum test with Benjamini-Hochberg correction. Tregs were identified as among the most consistently enriched immune subsets across cancer types. Within the Treg compartment, the TIGIT⁺CCR8⁻ subpopulation was further confirmed to be significantly enriched in tumor samples (adjusted p &lt; 0.01).</w:t>
      </w:r>
    </w:p>
    <w:p w14:paraId="3E970D6A" w14:textId="77777777" w:rsidR="0027594B" w:rsidRPr="0027594B" w:rsidRDefault="0027594B" w:rsidP="0027594B">
      <w:pPr>
        <w:jc w:val="both"/>
        <w:rPr>
          <w:rFonts w:ascii="Helvetica" w:hAnsi="Helvetica"/>
          <w:sz w:val="21"/>
          <w:szCs w:val="21"/>
        </w:rPr>
      </w:pPr>
      <w:r w:rsidRPr="0027594B">
        <w:rPr>
          <w:rFonts w:ascii="Helvetica" w:hAnsi="Helvetica"/>
          <w:b/>
          <w:bCs/>
          <w:sz w:val="21"/>
          <w:szCs w:val="21"/>
        </w:rPr>
        <w:t>TIGIT⁺ Treg isolation and co-culture assays</w:t>
      </w:r>
    </w:p>
    <w:p w14:paraId="43EA7161" w14:textId="2EBAB324" w:rsidR="0027594B" w:rsidRPr="0027594B" w:rsidRDefault="0027594B" w:rsidP="0027594B">
      <w:pPr>
        <w:jc w:val="both"/>
        <w:rPr>
          <w:rFonts w:ascii="Helvetica" w:hAnsi="Helvetica"/>
          <w:sz w:val="21"/>
          <w:szCs w:val="21"/>
        </w:rPr>
      </w:pPr>
      <w:r w:rsidRPr="0027594B">
        <w:rPr>
          <w:rFonts w:ascii="Helvetica" w:hAnsi="Helvetica"/>
          <w:sz w:val="21"/>
          <w:szCs w:val="21"/>
        </w:rPr>
        <w:lastRenderedPageBreak/>
        <w:t>Peripheral blood mononuclear cells (PBMCs) were isolated from healthy donors by density gradient centrifugation using Ficoll-Paque PLUS (GE Healthcare). PBMCs were stained with anti-CD4-APC (clone RPA-T4, BioLegend), anti-CD25-PE/Cy7 (clone BC96, BioLegend), anti-CD127-BV421 (clone A019D5, BioLegend), anti-TIGIT-PE (clone A15153G, BioLegend), and anti-CCR8-BV711 (clone L263G8, BioLegend) antibodies. TIGIT⁺ Tregs were defined as CD4⁺CD25⁺</w:t>
      </w:r>
      <w:r w:rsidRPr="0027594B">
        <w:rPr>
          <w:rFonts w:ascii="Helvetica" w:hAnsi="Helvetica"/>
          <w:sz w:val="21"/>
          <w:szCs w:val="21"/>
        </w:rPr>
        <w:t xml:space="preserve"> </w:t>
      </w:r>
      <w:r w:rsidRPr="0027594B">
        <w:rPr>
          <w:rFonts w:ascii="Helvetica" w:hAnsi="Helvetica"/>
          <w:sz w:val="21"/>
          <w:szCs w:val="21"/>
        </w:rPr>
        <w:t xml:space="preserve">TIGIT⁺CCR8⁻ and sorted on a BD FACSAria II (BD Biosciences). </w:t>
      </w:r>
    </w:p>
    <w:p w14:paraId="140C5E3F" w14:textId="77777777" w:rsidR="0027594B" w:rsidRPr="0027594B" w:rsidRDefault="0027594B" w:rsidP="0027594B">
      <w:pPr>
        <w:jc w:val="both"/>
        <w:rPr>
          <w:rFonts w:ascii="Helvetica" w:hAnsi="Helvetica"/>
          <w:sz w:val="21"/>
          <w:szCs w:val="21"/>
        </w:rPr>
      </w:pPr>
      <w:r w:rsidRPr="0027594B">
        <w:rPr>
          <w:rFonts w:ascii="Helvetica" w:hAnsi="Helvetica"/>
          <w:sz w:val="21"/>
          <w:szCs w:val="21"/>
        </w:rPr>
        <w:t>Sorted TIGIT⁺ Tregs were co-cultured with autologous CD8⁺ effector T cells, isolated by negative selection using the EasySep Human CD8⁺ T Cell Isolation Kit (STEMCELL Technologies), at a 1:4 Treg-to-effector ratio in the presence of anti-CD3/CD28 Dynabeads (Thermo Fisher) for 72 hours in complete RPMI-1640 medium supplemented with 10% FBS, 100 U/mL penicillin-streptomycin, and 100 IU/mL recombinant human IL-2 (PeproTech). T cell activation was assessed by surface staining with anti-CD69-FITC (clone FN50, BioLegend) and quantified by flow cytometry on a CytoFLEX (Beckman Coulter). Culture supernatants were collected for IFN-γ measurement by enzyme-linked immunosorbent assay (Human IFN-γ Quantikine ELISA Kit, R&amp;D Systems, catalog DIF50C). For cancer cell killing assays, CD8⁺ effector T cells pre-co-cultured with or without TIGIT⁺ Tregs for 72 hours were harvested and incubated with A549 cells at an effector-to-target ratio of 10:1 for 24 hours. Cytotoxicity was determined by LDH release assay (CytoTox 96 Non-Radioactive Cytotoxicity Assay, Promega, catalog G1780) according to the manufacturer's instructions. Percent cytotoxicity was calculated as: (Experimental − Effector Spontaneous − Target Spontaneous) / (Target Maximum − Target Spontaneous) × 100.</w:t>
      </w:r>
    </w:p>
    <w:p w14:paraId="39885FB8" w14:textId="77777777" w:rsidR="0027594B" w:rsidRPr="0027594B" w:rsidRDefault="0027594B" w:rsidP="0027594B">
      <w:pPr>
        <w:jc w:val="both"/>
        <w:rPr>
          <w:rFonts w:ascii="Helvetica" w:hAnsi="Helvetica"/>
          <w:sz w:val="21"/>
          <w:szCs w:val="21"/>
        </w:rPr>
      </w:pPr>
      <w:r w:rsidRPr="0027594B">
        <w:rPr>
          <w:rFonts w:ascii="Helvetica" w:hAnsi="Helvetica"/>
          <w:b/>
          <w:bCs/>
          <w:sz w:val="21"/>
          <w:szCs w:val="21"/>
        </w:rPr>
        <w:t>Statistical analysis</w:t>
      </w:r>
    </w:p>
    <w:p w14:paraId="3FCCDE99" w14:textId="77777777" w:rsidR="0027594B" w:rsidRPr="0027594B" w:rsidRDefault="0027594B" w:rsidP="0027594B">
      <w:pPr>
        <w:jc w:val="both"/>
        <w:rPr>
          <w:rFonts w:ascii="Helvetica" w:hAnsi="Helvetica"/>
          <w:sz w:val="21"/>
          <w:szCs w:val="21"/>
        </w:rPr>
      </w:pPr>
      <w:r w:rsidRPr="0027594B">
        <w:rPr>
          <w:rFonts w:ascii="Helvetica" w:hAnsi="Helvetica"/>
          <w:sz w:val="21"/>
          <w:szCs w:val="21"/>
        </w:rPr>
        <w:t>All statistical comparisons between two groups were performed using two-tailed unpaired Student's t test. Multiple testing correction was applied using the Benjamini-Hochberg method where applicable. Statistical significance was defined as *p &lt; 0.05, **p &lt; 0.01, and ***p &lt; 0.001. Data are presented as mean ± standard deviation (SD) from at least three independent experiments. Computational analyses were performed using Python (v3.10) with Scanpy (v1.9.6). Statistical analyses and visualization were carried out using R (v4.3.1), ggplot2 (v3.4.4), and GraphPad Prism (v9.5).</w:t>
      </w:r>
    </w:p>
    <w:p w14:paraId="50BB7E23" w14:textId="77777777" w:rsidR="00C0642D" w:rsidRPr="00FB513C" w:rsidRDefault="00C0642D" w:rsidP="00FB513C">
      <w:pPr>
        <w:jc w:val="both"/>
        <w:rPr>
          <w:rFonts w:ascii="Helvetica" w:hAnsi="Helvetica"/>
          <w:sz w:val="21"/>
          <w:szCs w:val="21"/>
        </w:rPr>
      </w:pPr>
    </w:p>
    <w:sectPr w:rsidR="00C0642D" w:rsidRPr="00FB51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96A"/>
    <w:rsid w:val="00002341"/>
    <w:rsid w:val="00012DE6"/>
    <w:rsid w:val="00036895"/>
    <w:rsid w:val="000D7888"/>
    <w:rsid w:val="0017288A"/>
    <w:rsid w:val="001A6341"/>
    <w:rsid w:val="00224911"/>
    <w:rsid w:val="00251524"/>
    <w:rsid w:val="0027594B"/>
    <w:rsid w:val="00284759"/>
    <w:rsid w:val="002B2FE8"/>
    <w:rsid w:val="003138A5"/>
    <w:rsid w:val="003D0217"/>
    <w:rsid w:val="003D5EAC"/>
    <w:rsid w:val="003E3356"/>
    <w:rsid w:val="00421960"/>
    <w:rsid w:val="00431A56"/>
    <w:rsid w:val="00441715"/>
    <w:rsid w:val="0046622C"/>
    <w:rsid w:val="004C6C54"/>
    <w:rsid w:val="00514D04"/>
    <w:rsid w:val="00526529"/>
    <w:rsid w:val="005314B5"/>
    <w:rsid w:val="00544941"/>
    <w:rsid w:val="00551CD9"/>
    <w:rsid w:val="005A6C1C"/>
    <w:rsid w:val="005B00B7"/>
    <w:rsid w:val="005B4FBD"/>
    <w:rsid w:val="00734737"/>
    <w:rsid w:val="007512C4"/>
    <w:rsid w:val="007A659D"/>
    <w:rsid w:val="007C2333"/>
    <w:rsid w:val="007C51EE"/>
    <w:rsid w:val="007F4B6C"/>
    <w:rsid w:val="007F594B"/>
    <w:rsid w:val="008179E9"/>
    <w:rsid w:val="00840118"/>
    <w:rsid w:val="008638D2"/>
    <w:rsid w:val="0087668E"/>
    <w:rsid w:val="008863EC"/>
    <w:rsid w:val="00890C76"/>
    <w:rsid w:val="008C418A"/>
    <w:rsid w:val="0097109F"/>
    <w:rsid w:val="009A7361"/>
    <w:rsid w:val="00A13F4F"/>
    <w:rsid w:val="00A17DBF"/>
    <w:rsid w:val="00A92328"/>
    <w:rsid w:val="00A96D13"/>
    <w:rsid w:val="00AD0221"/>
    <w:rsid w:val="00AF0CFD"/>
    <w:rsid w:val="00AF3977"/>
    <w:rsid w:val="00AF4D52"/>
    <w:rsid w:val="00B262A6"/>
    <w:rsid w:val="00B270D9"/>
    <w:rsid w:val="00B34515"/>
    <w:rsid w:val="00B47E1C"/>
    <w:rsid w:val="00B960AC"/>
    <w:rsid w:val="00BB342A"/>
    <w:rsid w:val="00BD662B"/>
    <w:rsid w:val="00C0642D"/>
    <w:rsid w:val="00C11BED"/>
    <w:rsid w:val="00C52C59"/>
    <w:rsid w:val="00C72B68"/>
    <w:rsid w:val="00C86AAD"/>
    <w:rsid w:val="00CC5E72"/>
    <w:rsid w:val="00CF3F81"/>
    <w:rsid w:val="00D10354"/>
    <w:rsid w:val="00D160BB"/>
    <w:rsid w:val="00D42BF4"/>
    <w:rsid w:val="00D51729"/>
    <w:rsid w:val="00DB5068"/>
    <w:rsid w:val="00E05D37"/>
    <w:rsid w:val="00EB496A"/>
    <w:rsid w:val="00EB6F98"/>
    <w:rsid w:val="00EC3BA0"/>
    <w:rsid w:val="00EF5FBF"/>
    <w:rsid w:val="00F2105B"/>
    <w:rsid w:val="00F95499"/>
    <w:rsid w:val="00FB1569"/>
    <w:rsid w:val="00FB513C"/>
    <w:rsid w:val="00FC1B78"/>
    <w:rsid w:val="00FC777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BB0DB"/>
  <w15:chartTrackingRefBased/>
  <w15:docId w15:val="{16C913C0-E0ED-AF47-81E6-D76A6FB63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9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9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9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9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9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9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9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9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9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9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9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9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9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9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9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9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9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96A"/>
    <w:rPr>
      <w:rFonts w:eastAsiaTheme="majorEastAsia" w:cstheme="majorBidi"/>
      <w:color w:val="272727" w:themeColor="text1" w:themeTint="D8"/>
    </w:rPr>
  </w:style>
  <w:style w:type="paragraph" w:styleId="Title">
    <w:name w:val="Title"/>
    <w:basedOn w:val="Normal"/>
    <w:next w:val="Normal"/>
    <w:link w:val="TitleChar"/>
    <w:uiPriority w:val="10"/>
    <w:qFormat/>
    <w:rsid w:val="00EB4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9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9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96A"/>
    <w:pPr>
      <w:spacing w:before="160"/>
      <w:jc w:val="center"/>
    </w:pPr>
    <w:rPr>
      <w:i/>
      <w:iCs/>
      <w:color w:val="404040" w:themeColor="text1" w:themeTint="BF"/>
    </w:rPr>
  </w:style>
  <w:style w:type="character" w:customStyle="1" w:styleId="QuoteChar">
    <w:name w:val="Quote Char"/>
    <w:basedOn w:val="DefaultParagraphFont"/>
    <w:link w:val="Quote"/>
    <w:uiPriority w:val="29"/>
    <w:rsid w:val="00EB496A"/>
    <w:rPr>
      <w:i/>
      <w:iCs/>
      <w:color w:val="404040" w:themeColor="text1" w:themeTint="BF"/>
    </w:rPr>
  </w:style>
  <w:style w:type="paragraph" w:styleId="ListParagraph">
    <w:name w:val="List Paragraph"/>
    <w:basedOn w:val="Normal"/>
    <w:uiPriority w:val="34"/>
    <w:qFormat/>
    <w:rsid w:val="00EB496A"/>
    <w:pPr>
      <w:ind w:left="720"/>
      <w:contextualSpacing/>
    </w:pPr>
  </w:style>
  <w:style w:type="character" w:styleId="IntenseEmphasis">
    <w:name w:val="Intense Emphasis"/>
    <w:basedOn w:val="DefaultParagraphFont"/>
    <w:uiPriority w:val="21"/>
    <w:qFormat/>
    <w:rsid w:val="00EB496A"/>
    <w:rPr>
      <w:i/>
      <w:iCs/>
      <w:color w:val="0F4761" w:themeColor="accent1" w:themeShade="BF"/>
    </w:rPr>
  </w:style>
  <w:style w:type="paragraph" w:styleId="IntenseQuote">
    <w:name w:val="Intense Quote"/>
    <w:basedOn w:val="Normal"/>
    <w:next w:val="Normal"/>
    <w:link w:val="IntenseQuoteChar"/>
    <w:uiPriority w:val="30"/>
    <w:qFormat/>
    <w:rsid w:val="00EB4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96A"/>
    <w:rPr>
      <w:i/>
      <w:iCs/>
      <w:color w:val="0F4761" w:themeColor="accent1" w:themeShade="BF"/>
    </w:rPr>
  </w:style>
  <w:style w:type="character" w:styleId="IntenseReference">
    <w:name w:val="Intense Reference"/>
    <w:basedOn w:val="DefaultParagraphFont"/>
    <w:uiPriority w:val="32"/>
    <w:qFormat/>
    <w:rsid w:val="00EB496A"/>
    <w:rPr>
      <w:b/>
      <w:bCs/>
      <w:smallCaps/>
      <w:color w:val="0F4761" w:themeColor="accent1" w:themeShade="BF"/>
      <w:spacing w:val="5"/>
    </w:rPr>
  </w:style>
  <w:style w:type="paragraph" w:customStyle="1" w:styleId="font-claude-response-body">
    <w:name w:val="font-claude-response-body"/>
    <w:basedOn w:val="Normal"/>
    <w:rsid w:val="00FB51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B51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4029</Words>
  <Characters>6448</Characters>
  <Application>Microsoft Office Word</Application>
  <DocSecurity>0</DocSecurity>
  <Lines>222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yingcheng wu</dc:creator>
  <cp:keywords/>
  <dc:description/>
  <cp:lastModifiedBy>yingcheng wu</cp:lastModifiedBy>
  <cp:revision>3</cp:revision>
  <dcterms:created xsi:type="dcterms:W3CDTF">2026-03-20T06:58:00Z</dcterms:created>
  <dcterms:modified xsi:type="dcterms:W3CDTF">2026-03-20T07:07:00Z</dcterms:modified>
</cp:coreProperties>
</file>