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BF1CFB" w14:textId="77777777" w:rsidR="006F7900" w:rsidRPr="007B6965" w:rsidRDefault="006F7900">
      <w:pPr>
        <w:rPr>
          <w:b/>
        </w:rPr>
      </w:pPr>
      <w:r w:rsidRPr="007B6965">
        <w:rPr>
          <w:b/>
        </w:rPr>
        <w:t>Where Eagles Dare</w:t>
      </w:r>
    </w:p>
    <w:p w14:paraId="7EC7A69E" w14:textId="77777777" w:rsidR="006F7900" w:rsidRDefault="006F7900"/>
    <w:p w14:paraId="309CD57D" w14:textId="595A4084" w:rsidR="006F7900" w:rsidRDefault="006F7900">
      <w:r>
        <w:t xml:space="preserve">I </w:t>
      </w:r>
      <w:r w:rsidR="00D2088D">
        <w:t>couldn’t</w:t>
      </w:r>
      <w:r w:rsidR="00A86C68">
        <w:t xml:space="preserve"> resist this title, taken from Shakespeare’s </w:t>
      </w:r>
      <w:r w:rsidR="00A86C68" w:rsidRPr="00D36D07">
        <w:rPr>
          <w:i/>
        </w:rPr>
        <w:t>Richard III</w:t>
      </w:r>
      <w:r w:rsidR="00A86C68">
        <w:t xml:space="preserve"> to use for a Hollywood film</w:t>
      </w:r>
      <w:r w:rsidR="00D36D07">
        <w:t>, full of daring wartime adventures</w:t>
      </w:r>
      <w:r w:rsidR="000406D7">
        <w:t xml:space="preserve">. As </w:t>
      </w:r>
      <w:r w:rsidR="00A86C68">
        <w:t xml:space="preserve">academics we may underestimate the importance of </w:t>
      </w:r>
      <w:r w:rsidR="006F3ECC">
        <w:t>courage</w:t>
      </w:r>
      <w:r w:rsidR="00A86C68">
        <w:t xml:space="preserve"> in our undertakings. But the early epigraphers required a good deal of </w:t>
      </w:r>
      <w:r w:rsidR="00A86C68" w:rsidRPr="000406D7">
        <w:rPr>
          <w:b/>
        </w:rPr>
        <w:t>daring</w:t>
      </w:r>
      <w:r w:rsidR="00A86C68">
        <w:t xml:space="preserve">; while recording inscriptions was </w:t>
      </w:r>
      <w:r w:rsidR="00D2088D">
        <w:t>straightforward</w:t>
      </w:r>
      <w:r w:rsidR="00A86C68">
        <w:t xml:space="preserve"> enough in Italy or north-western Europe, the eastern and southern regions of the </w:t>
      </w:r>
      <w:r w:rsidR="00D2088D">
        <w:t>Greco-Roman</w:t>
      </w:r>
      <w:r w:rsidR="00A86C68">
        <w:t xml:space="preserve"> world remained difficult and dangerous to visit until the late nineteenth century or even later – as is again becoming true. The early travellers also </w:t>
      </w:r>
      <w:r w:rsidR="00D2088D">
        <w:t>suffered</w:t>
      </w:r>
      <w:r w:rsidR="00A86C68">
        <w:t xml:space="preserve"> from practical constraints; in the 18</w:t>
      </w:r>
      <w:r w:rsidR="00A86C68" w:rsidRPr="00A86C68">
        <w:rPr>
          <w:vertAlign w:val="superscript"/>
        </w:rPr>
        <w:t>th</w:t>
      </w:r>
      <w:r w:rsidR="00A86C68">
        <w:t xml:space="preserve"> and </w:t>
      </w:r>
      <w:r w:rsidR="000406D7">
        <w:t>19th centuries</w:t>
      </w:r>
      <w:r w:rsidR="00A86C68">
        <w:t xml:space="preserve"> they were limited by the quantity of paper that they had </w:t>
      </w:r>
      <w:r w:rsidR="00D2088D">
        <w:t>brought</w:t>
      </w:r>
      <w:r w:rsidR="00A86C68">
        <w:t xml:space="preserve"> with them just as in the 20</w:t>
      </w:r>
      <w:r w:rsidR="00A86C68" w:rsidRPr="00A86C68">
        <w:rPr>
          <w:vertAlign w:val="superscript"/>
        </w:rPr>
        <w:t>th</w:t>
      </w:r>
      <w:r w:rsidR="00A86C68">
        <w:t xml:space="preserve"> century; </w:t>
      </w:r>
      <w:r w:rsidR="00D2088D">
        <w:t>Robert</w:t>
      </w:r>
      <w:r w:rsidR="00A86C68">
        <w:t xml:space="preserve"> ‘Palmyra’ Wood recorded inscriptions on pages of his copy of Homer. He was </w:t>
      </w:r>
      <w:r w:rsidR="001C2764">
        <w:t>travelling for several months</w:t>
      </w:r>
      <w:r w:rsidR="00A86C68">
        <w:t xml:space="preserve">, and was saving his paper for sketches, </w:t>
      </w:r>
      <w:r w:rsidR="00B26613">
        <w:t>plans and drawings of buildings</w:t>
      </w:r>
      <w:r w:rsidR="00A86C68">
        <w:t>.</w:t>
      </w:r>
      <w:r w:rsidR="00B26613">
        <w:rPr>
          <w:rStyle w:val="FootnoteReference"/>
        </w:rPr>
        <w:footnoteReference w:id="1"/>
      </w:r>
      <w:r w:rsidR="00A86C68">
        <w:t xml:space="preserve"> Similarly John </w:t>
      </w:r>
      <w:proofErr w:type="spellStart"/>
      <w:r w:rsidR="00A86C68">
        <w:t>Deering</w:t>
      </w:r>
      <w:proofErr w:type="spellEnd"/>
      <w:r w:rsidR="00A86C68">
        <w:t xml:space="preserve"> recorded texts in a notebook with very small pages.</w:t>
      </w:r>
      <w:r w:rsidR="001C2764">
        <w:rPr>
          <w:rStyle w:val="FootnoteReference"/>
        </w:rPr>
        <w:footnoteReference w:id="2"/>
      </w:r>
      <w:r w:rsidR="00A86C68">
        <w:t xml:space="preserve"> Twentieth century travellers were to experience similar constraints on the amount of photographic film available to them.</w:t>
      </w:r>
    </w:p>
    <w:p w14:paraId="230482C7" w14:textId="77777777" w:rsidR="00A86C68" w:rsidRDefault="00A86C68"/>
    <w:p w14:paraId="7F19C5E9" w14:textId="72C3E096" w:rsidR="00A86C68" w:rsidRDefault="00A86C68">
      <w:r>
        <w:t>At the same time, epigraphers have always been ingenious in their use of tech</w:t>
      </w:r>
      <w:r w:rsidR="001B179B">
        <w:t>nical solutions. The most dramat</w:t>
      </w:r>
      <w:r>
        <w:t xml:space="preserve">ic of these is perhaps the development of </w:t>
      </w:r>
      <w:r w:rsidRPr="006F3ECC">
        <w:rPr>
          <w:b/>
        </w:rPr>
        <w:t>squeezes</w:t>
      </w:r>
      <w:r>
        <w:t>, which have turned out to provide records of enduring and continuing value. The driving force here was the need to record inscriptions in languages – hieroglyphics, cuneiform – which could not be interpreted</w:t>
      </w:r>
      <w:r w:rsidR="000406D7">
        <w:t>, and even incised designs</w:t>
      </w:r>
      <w:r>
        <w:t xml:space="preserve">; </w:t>
      </w:r>
      <w:r w:rsidR="001B179B">
        <w:t>copyists who know Greek or Latin could record texts in those languages with relative ease</w:t>
      </w:r>
      <w:r w:rsidR="006613E3">
        <w:t>, but they too came to find squeezes useful in representing what they saw</w:t>
      </w:r>
      <w:r w:rsidR="001B179B">
        <w:t xml:space="preserve">. Over time the technology was improved; while the plaster casts of Egyptian paintings could </w:t>
      </w:r>
      <w:r w:rsidR="00D2088D">
        <w:t>seriously</w:t>
      </w:r>
      <w:r w:rsidR="001B179B">
        <w:t xml:space="preserve"> damage the monument, paper squeezes improved in quality.</w:t>
      </w:r>
      <w:r w:rsidR="001C2764">
        <w:rPr>
          <w:rStyle w:val="FootnoteReference"/>
        </w:rPr>
        <w:footnoteReference w:id="3"/>
      </w:r>
      <w:r w:rsidR="001B179B">
        <w:t xml:space="preserve"> </w:t>
      </w:r>
    </w:p>
    <w:p w14:paraId="321B4FE5" w14:textId="77777777" w:rsidR="00FA13CB" w:rsidRDefault="00FA13CB"/>
    <w:p w14:paraId="3597949F" w14:textId="671DC9FC" w:rsidR="0012441F" w:rsidRDefault="001B179B">
      <w:r>
        <w:t xml:space="preserve">During the 19th century, </w:t>
      </w:r>
      <w:r w:rsidRPr="00D36D07">
        <w:rPr>
          <w:b/>
        </w:rPr>
        <w:t>travel</w:t>
      </w:r>
      <w:r>
        <w:t xml:space="preserve"> became steadily safer, and also easier -</w:t>
      </w:r>
      <w:r w:rsidR="0012441F">
        <w:t xml:space="preserve"> </w:t>
      </w:r>
      <w:r>
        <w:t xml:space="preserve">most </w:t>
      </w:r>
      <w:r w:rsidR="00D2088D">
        <w:t>dramatically</w:t>
      </w:r>
      <w:r>
        <w:t xml:space="preserve"> as railways began to open up new regions</w:t>
      </w:r>
      <w:r w:rsidR="0012441F">
        <w:t>. Over the same period, the crea</w:t>
      </w:r>
      <w:r>
        <w:t xml:space="preserve">tion of the first great </w:t>
      </w:r>
      <w:r w:rsidR="00D2088D">
        <w:t>corpora</w:t>
      </w:r>
      <w:r>
        <w:t xml:space="preserve"> of inscriptions </w:t>
      </w:r>
      <w:r w:rsidR="006613E3">
        <w:t>encouraged</w:t>
      </w:r>
      <w:r>
        <w:t xml:space="preserve"> </w:t>
      </w:r>
      <w:r w:rsidR="0012441F">
        <w:t xml:space="preserve">an increasing standardisation of records. Early travellers recorded as much as they could, often in haste: this normally took the form of a simple transcription, or drawing, of the text, with sometimes a brief mention of its support.  Gradually, </w:t>
      </w:r>
      <w:r w:rsidR="00D2088D">
        <w:t>measurements</w:t>
      </w:r>
      <w:r w:rsidR="0012441F">
        <w:t xml:space="preserve"> start to appear – often only </w:t>
      </w:r>
      <w:proofErr w:type="gramStart"/>
      <w:r w:rsidR="0012441F">
        <w:t>of</w:t>
      </w:r>
      <w:proofErr w:type="gramEnd"/>
      <w:r w:rsidR="0012441F">
        <w:t xml:space="preserve"> letters, then of the </w:t>
      </w:r>
      <w:r w:rsidR="00D2088D">
        <w:t>monument</w:t>
      </w:r>
      <w:r w:rsidR="0012441F">
        <w:t xml:space="preserve"> or fragment itself. In 1890 the </w:t>
      </w:r>
      <w:r w:rsidR="00D2088D">
        <w:t>Austrian</w:t>
      </w:r>
      <w:r w:rsidR="0012441F">
        <w:t xml:space="preserve"> government set up the </w:t>
      </w:r>
      <w:proofErr w:type="spellStart"/>
      <w:r w:rsidR="006613E3">
        <w:t>Kleinasiat</w:t>
      </w:r>
      <w:r w:rsidR="00D2088D">
        <w:t>ische</w:t>
      </w:r>
      <w:proofErr w:type="spellEnd"/>
      <w:r w:rsidR="0012441F">
        <w:t xml:space="preserve"> </w:t>
      </w:r>
      <w:proofErr w:type="spellStart"/>
      <w:r w:rsidR="0012441F">
        <w:t>Kommission</w:t>
      </w:r>
      <w:proofErr w:type="spellEnd"/>
      <w:r w:rsidR="0012441F">
        <w:t>,</w:t>
      </w:r>
      <w:r w:rsidR="003A117F">
        <w:rPr>
          <w:rStyle w:val="FootnoteReference"/>
        </w:rPr>
        <w:footnoteReference w:id="4"/>
      </w:r>
      <w:r w:rsidR="0012441F">
        <w:t xml:space="preserve"> which provided travellers with special notebooks: these were </w:t>
      </w:r>
      <w:r w:rsidR="00D2088D">
        <w:t>pre-printed</w:t>
      </w:r>
      <w:r w:rsidR="0012441F">
        <w:t xml:space="preserve"> with</w:t>
      </w:r>
      <w:r w:rsidR="00D36D07">
        <w:t xml:space="preserve"> headings for</w:t>
      </w:r>
      <w:r w:rsidR="0012441F">
        <w:t xml:space="preserve"> </w:t>
      </w:r>
      <w:r w:rsidR="009A5B51">
        <w:t>L</w:t>
      </w:r>
      <w:r w:rsidR="00D36D07">
        <w:t>ocation and Position, Material, Height, Width, Depth, L</w:t>
      </w:r>
      <w:r w:rsidR="009A5B51">
        <w:t>etter heights</w:t>
      </w:r>
      <w:r w:rsidR="00D36D07">
        <w:t xml:space="preserve">, Shape and Condition, Number and location of squeeze, When copied and </w:t>
      </w:r>
      <w:r w:rsidR="00D36D07">
        <w:lastRenderedPageBreak/>
        <w:t>by whom.</w:t>
      </w:r>
      <w:r w:rsidR="00D36D07">
        <w:rPr>
          <w:rStyle w:val="FootnoteReference"/>
        </w:rPr>
        <w:footnoteReference w:id="5"/>
      </w:r>
      <w:r w:rsidR="00D36D07">
        <w:t xml:space="preserve"> </w:t>
      </w:r>
      <w:r w:rsidR="0012441F">
        <w:t xml:space="preserve">On return to Vienna, the notebooks could be filed, and the squeezes stored, in bookshelves and drawers </w:t>
      </w:r>
      <w:r w:rsidR="00D2088D">
        <w:t>specially</w:t>
      </w:r>
      <w:r w:rsidR="0012441F">
        <w:t xml:space="preserve"> designed for the </w:t>
      </w:r>
      <w:r w:rsidR="00D2088D">
        <w:t>purpose</w:t>
      </w:r>
      <w:r w:rsidR="0012441F">
        <w:t>.</w:t>
      </w:r>
    </w:p>
    <w:p w14:paraId="735E1B13" w14:textId="77777777" w:rsidR="0012441F" w:rsidRDefault="0012441F"/>
    <w:p w14:paraId="3FE1DE1D" w14:textId="4984FF02" w:rsidR="00FA13CB" w:rsidRDefault="00FA13CB">
      <w:r>
        <w:t xml:space="preserve">At the same time, the </w:t>
      </w:r>
      <w:r w:rsidR="0012441F">
        <w:t xml:space="preserve">publication of the corpora, and the great </w:t>
      </w:r>
      <w:r>
        <w:t xml:space="preserve">projects </w:t>
      </w:r>
      <w:r w:rsidR="00D36D07">
        <w:t xml:space="preserve">from </w:t>
      </w:r>
      <w:proofErr w:type="spellStart"/>
      <w:r>
        <w:t>Boeckh</w:t>
      </w:r>
      <w:r w:rsidR="00D36D07">
        <w:t>’s</w:t>
      </w:r>
      <w:proofErr w:type="spellEnd"/>
      <w:r w:rsidR="00D36D07">
        <w:t xml:space="preserve"> </w:t>
      </w:r>
      <w:r w:rsidR="00D36D07" w:rsidRPr="00D36D07">
        <w:rPr>
          <w:i/>
        </w:rPr>
        <w:t>CIG</w:t>
      </w:r>
      <w:r w:rsidR="00D36D07">
        <w:t xml:space="preserve"> </w:t>
      </w:r>
      <w:proofErr w:type="gramStart"/>
      <w:r w:rsidR="00D36D07">
        <w:t xml:space="preserve">to </w:t>
      </w:r>
      <w:r>
        <w:t xml:space="preserve"> Mommsen</w:t>
      </w:r>
      <w:r w:rsidR="00D36D07">
        <w:t>’s</w:t>
      </w:r>
      <w:proofErr w:type="gramEnd"/>
      <w:r w:rsidR="00D36D07">
        <w:t xml:space="preserve"> </w:t>
      </w:r>
      <w:r w:rsidR="00D36D07" w:rsidRPr="00D36D07">
        <w:rPr>
          <w:i/>
        </w:rPr>
        <w:t>CIL</w:t>
      </w:r>
      <w:r>
        <w:t xml:space="preserve"> </w:t>
      </w:r>
      <w:r w:rsidR="00105173">
        <w:t>was</w:t>
      </w:r>
      <w:r>
        <w:t xml:space="preserve"> revealing the </w:t>
      </w:r>
      <w:r w:rsidR="00105173">
        <w:rPr>
          <w:b/>
        </w:rPr>
        <w:t>volume</w:t>
      </w:r>
      <w:r>
        <w:t xml:space="preserve"> of material. </w:t>
      </w:r>
      <w:r w:rsidR="005A3CD1">
        <w:t xml:space="preserve"> The Ottoman world was becoming increasingly accessible; in the western part of the Roman </w:t>
      </w:r>
      <w:r w:rsidR="00D2088D">
        <w:t>Empire</w:t>
      </w:r>
      <w:r w:rsidR="005A3CD1">
        <w:t xml:space="preserve"> development and industrialisation – particularly the</w:t>
      </w:r>
      <w:r>
        <w:t xml:space="preserve"> redevelopment of Rome </w:t>
      </w:r>
      <w:r w:rsidR="00105173">
        <w:t>a</w:t>
      </w:r>
      <w:r w:rsidR="005A3CD1">
        <w:t>s a capital city - increased</w:t>
      </w:r>
      <w:r>
        <w:t xml:space="preserve"> the torrent o</w:t>
      </w:r>
      <w:r w:rsidR="00105173">
        <w:t>f</w:t>
      </w:r>
      <w:r>
        <w:t xml:space="preserve"> material</w:t>
      </w:r>
      <w:r w:rsidR="005A3CD1">
        <w:t xml:space="preserve">. Publishing an abundance of texts, </w:t>
      </w:r>
      <w:r w:rsidR="00D2088D">
        <w:t>accompanied</w:t>
      </w:r>
      <w:r w:rsidR="005A3CD1">
        <w:t xml:space="preserve"> by increasingly detailed information, required a </w:t>
      </w:r>
      <w:r w:rsidR="00D2088D">
        <w:t>systematised</w:t>
      </w:r>
      <w:r w:rsidR="005A3CD1">
        <w:t xml:space="preserve"> response. </w:t>
      </w:r>
      <w:r w:rsidR="00D2088D">
        <w:t>Organisation</w:t>
      </w:r>
      <w:r w:rsidR="0046011D">
        <w:t xml:space="preserve"> </w:t>
      </w:r>
      <w:r w:rsidR="005A3CD1">
        <w:t xml:space="preserve">could be thematic: Christian inscriptions, for example, were identified as a </w:t>
      </w:r>
      <w:r w:rsidR="00D2088D">
        <w:t>separate</w:t>
      </w:r>
      <w:r w:rsidR="005A3CD1">
        <w:t xml:space="preserve"> category, requiring different expertise, although this </w:t>
      </w:r>
      <w:r w:rsidR="00D2088D">
        <w:t>division</w:t>
      </w:r>
      <w:r w:rsidR="005A3CD1">
        <w:t xml:space="preserve"> </w:t>
      </w:r>
      <w:r w:rsidR="00D2088D">
        <w:t>ha</w:t>
      </w:r>
      <w:r w:rsidR="005A3CD1">
        <w:t xml:space="preserve">s remained problematic. It could be geographic: the Berlin Academy took responsibility for publishing the </w:t>
      </w:r>
      <w:r w:rsidR="00D2088D">
        <w:t>material</w:t>
      </w:r>
      <w:r w:rsidR="006F3ECC">
        <w:t xml:space="preserve"> fro</w:t>
      </w:r>
      <w:r w:rsidR="005A3CD1">
        <w:t xml:space="preserve">m Italy and the west, while the Austrian Academy was to deal with Asia Minor </w:t>
      </w:r>
      <w:r w:rsidR="00D2088D">
        <w:t>and</w:t>
      </w:r>
      <w:r w:rsidR="005A3CD1">
        <w:t xml:space="preserve"> the East; but </w:t>
      </w:r>
      <w:r w:rsidR="00D2088D">
        <w:t>national</w:t>
      </w:r>
      <w:r w:rsidR="005A3CD1">
        <w:t xml:space="preserve"> </w:t>
      </w:r>
      <w:r w:rsidR="00D2088D">
        <w:t>interests</w:t>
      </w:r>
      <w:r w:rsidR="005A3CD1">
        <w:t xml:space="preserve"> also played a part, with </w:t>
      </w:r>
      <w:r w:rsidR="00D2088D">
        <w:t>Italian</w:t>
      </w:r>
      <w:r w:rsidR="005A3CD1">
        <w:t xml:space="preserve"> and </w:t>
      </w:r>
      <w:r w:rsidR="00D2088D">
        <w:t>French</w:t>
      </w:r>
      <w:r w:rsidR="005A3CD1">
        <w:t xml:space="preserve"> scholars publishing materials from the </w:t>
      </w:r>
      <w:r w:rsidR="0069681D">
        <w:t xml:space="preserve">epigraphically prolific north </w:t>
      </w:r>
      <w:r w:rsidR="00D2088D">
        <w:t>African</w:t>
      </w:r>
      <w:r w:rsidR="0069681D">
        <w:t xml:space="preserve"> </w:t>
      </w:r>
      <w:r w:rsidR="005A3CD1">
        <w:t>regions which</w:t>
      </w:r>
      <w:r w:rsidR="0069681D">
        <w:t xml:space="preserve"> their governments controlled. </w:t>
      </w:r>
      <w:r w:rsidR="005A3CD1">
        <w:t xml:space="preserve">The situation also demanded finding aids – the </w:t>
      </w:r>
      <w:r w:rsidR="005A3CD1" w:rsidRPr="00D64270">
        <w:rPr>
          <w:i/>
        </w:rPr>
        <w:t>PIR</w:t>
      </w:r>
      <w:r w:rsidR="005A3CD1">
        <w:t xml:space="preserve"> can be seen as a tool for accessing the material in </w:t>
      </w:r>
      <w:r w:rsidR="005A3CD1" w:rsidRPr="00D64270">
        <w:rPr>
          <w:i/>
        </w:rPr>
        <w:t>CIL</w:t>
      </w:r>
      <w:r w:rsidR="005A3CD1">
        <w:t xml:space="preserve">. And the pressure for standardisation </w:t>
      </w:r>
      <w:r w:rsidR="00D2088D">
        <w:t>continued</w:t>
      </w:r>
      <w:r w:rsidR="005A3CD1">
        <w:t>, although</w:t>
      </w:r>
      <w:r w:rsidR="0069681D">
        <w:t xml:space="preserve"> it was not until </w:t>
      </w:r>
      <w:r w:rsidR="00D64270">
        <w:t>the 1930s</w:t>
      </w:r>
      <w:r w:rsidR="0069681D">
        <w:t xml:space="preserve"> </w:t>
      </w:r>
      <w:r w:rsidR="00D2088D">
        <w:t>that</w:t>
      </w:r>
      <w:r w:rsidR="0069681D">
        <w:t xml:space="preserve"> </w:t>
      </w:r>
      <w:r w:rsidR="00D64270">
        <w:t xml:space="preserve">use of </w:t>
      </w:r>
      <w:r w:rsidR="0069681D">
        <w:t xml:space="preserve">the Leiden conventions for publishing inscribed texts </w:t>
      </w:r>
      <w:r w:rsidR="00D64270">
        <w:t>was</w:t>
      </w:r>
      <w:r w:rsidR="0069681D">
        <w:t xml:space="preserve"> agreed</w:t>
      </w:r>
      <w:r w:rsidR="006F3ECC">
        <w:t xml:space="preserve"> (a</w:t>
      </w:r>
      <w:r w:rsidR="00D64270">
        <w:t>nd modifications continue</w:t>
      </w:r>
      <w:r w:rsidR="006F3ECC">
        <w:t>d)</w:t>
      </w:r>
      <w:r w:rsidR="0069681D">
        <w:t>.</w:t>
      </w:r>
      <w:r w:rsidR="00D64270">
        <w:rPr>
          <w:rStyle w:val="FootnoteReference"/>
        </w:rPr>
        <w:footnoteReference w:id="6"/>
      </w:r>
    </w:p>
    <w:p w14:paraId="4D306DE1" w14:textId="77777777" w:rsidR="005A3CD1" w:rsidRDefault="005A3CD1"/>
    <w:p w14:paraId="3F6F2D3E" w14:textId="7CDABEC8" w:rsidR="00864B1F" w:rsidRDefault="0046011D" w:rsidP="0046011D">
      <w:r>
        <w:t xml:space="preserve"> Much of this reflected a response to the increased volume of material becoming </w:t>
      </w:r>
      <w:r w:rsidR="00D2088D">
        <w:t>available</w:t>
      </w:r>
      <w:r>
        <w:t xml:space="preserve"> as the world changed. But the end of the </w:t>
      </w:r>
      <w:r w:rsidR="00D2088D">
        <w:t>nineteenth</w:t>
      </w:r>
      <w:r>
        <w:t xml:space="preserve"> century saw the beginning of a further</w:t>
      </w:r>
      <w:r w:rsidR="00864B1F">
        <w:t xml:space="preserve"> technological revolution</w:t>
      </w:r>
      <w:r w:rsidR="006F3ECC">
        <w:t xml:space="preserve"> w</w:t>
      </w:r>
      <w:r>
        <w:t xml:space="preserve">ith the arrival of </w:t>
      </w:r>
      <w:r w:rsidRPr="006F3ECC">
        <w:rPr>
          <w:b/>
        </w:rPr>
        <w:t>photography</w:t>
      </w:r>
      <w:r>
        <w:t>. The use of cameras</w:t>
      </w:r>
      <w:r w:rsidR="006F3ECC">
        <w:t xml:space="preserve"> for ar</w:t>
      </w:r>
      <w:r w:rsidR="001C2764">
        <w:t>chae</w:t>
      </w:r>
      <w:r w:rsidR="006F3ECC">
        <w:t>ological re</w:t>
      </w:r>
      <w:r w:rsidR="001C2764">
        <w:t>c</w:t>
      </w:r>
      <w:r w:rsidR="006F3ECC">
        <w:t>ords</w:t>
      </w:r>
      <w:r>
        <w:t xml:space="preserve"> was at first limited to established excavation sites, or cities such as Athens, with a reasonable amount of infrastructure and protection for </w:t>
      </w:r>
      <w:r w:rsidR="00D2088D">
        <w:t>cumbersome</w:t>
      </w:r>
      <w:r>
        <w:t xml:space="preserve"> equipment; but by the 1920s cam</w:t>
      </w:r>
      <w:r w:rsidR="00443B67">
        <w:t>e</w:t>
      </w:r>
      <w:r>
        <w:t xml:space="preserve">ras were sufficiently </w:t>
      </w:r>
      <w:r w:rsidR="00443B67">
        <w:t xml:space="preserve">portable to be taken out into the countryside. More and more inscriptions were photographed; but the </w:t>
      </w:r>
      <w:proofErr w:type="gramStart"/>
      <w:r w:rsidR="00443B67">
        <w:t>traditions which had already developed</w:t>
      </w:r>
      <w:proofErr w:type="gramEnd"/>
      <w:r w:rsidR="00443B67">
        <w:t xml:space="preserve"> meant that they were not </w:t>
      </w:r>
      <w:r w:rsidR="00D2088D">
        <w:t>immediately</w:t>
      </w:r>
      <w:r w:rsidR="00443B67">
        <w:t xml:space="preserve"> seen as essential</w:t>
      </w:r>
      <w:r w:rsidR="001C2764">
        <w:t xml:space="preserve"> elements in publication</w:t>
      </w:r>
      <w:r w:rsidR="00443B67">
        <w:t xml:space="preserve">. The </w:t>
      </w:r>
      <w:proofErr w:type="spellStart"/>
      <w:r w:rsidR="00443B67" w:rsidRPr="00443B67">
        <w:rPr>
          <w:i/>
        </w:rPr>
        <w:t>Monumenta</w:t>
      </w:r>
      <w:proofErr w:type="spellEnd"/>
      <w:r w:rsidR="00443B67" w:rsidRPr="00443B67">
        <w:rPr>
          <w:i/>
        </w:rPr>
        <w:t xml:space="preserve"> </w:t>
      </w:r>
      <w:proofErr w:type="spellStart"/>
      <w:r w:rsidR="00443B67" w:rsidRPr="00443B67">
        <w:rPr>
          <w:i/>
        </w:rPr>
        <w:t>Asiae</w:t>
      </w:r>
      <w:proofErr w:type="spellEnd"/>
      <w:r w:rsidR="00443B67" w:rsidRPr="00443B67">
        <w:rPr>
          <w:i/>
        </w:rPr>
        <w:t xml:space="preserve"> </w:t>
      </w:r>
      <w:proofErr w:type="spellStart"/>
      <w:r w:rsidR="00443B67" w:rsidRPr="00443B67">
        <w:rPr>
          <w:i/>
        </w:rPr>
        <w:t>Minoris</w:t>
      </w:r>
      <w:proofErr w:type="spellEnd"/>
      <w:r w:rsidR="00443B67" w:rsidRPr="00443B67">
        <w:rPr>
          <w:i/>
        </w:rPr>
        <w:t xml:space="preserve"> Antiqua</w:t>
      </w:r>
      <w:r w:rsidR="00443B67">
        <w:t xml:space="preserve"> represent </w:t>
      </w:r>
      <w:proofErr w:type="gramStart"/>
      <w:r w:rsidR="00443B67">
        <w:t>an</w:t>
      </w:r>
      <w:proofErr w:type="gramEnd"/>
      <w:r w:rsidR="00443B67">
        <w:t xml:space="preserve"> </w:t>
      </w:r>
      <w:r w:rsidR="00D2088D">
        <w:t>honourable</w:t>
      </w:r>
      <w:r w:rsidR="00443B67">
        <w:t xml:space="preserve"> exception, established with the specific aim of taking and publishing photographs; but they had the support of American funding.</w:t>
      </w:r>
      <w:r w:rsidR="006613E3">
        <w:rPr>
          <w:rStyle w:val="FootnoteReference"/>
        </w:rPr>
        <w:footnoteReference w:id="7"/>
      </w:r>
      <w:r w:rsidR="00443B67">
        <w:t xml:space="preserve">  </w:t>
      </w:r>
    </w:p>
    <w:p w14:paraId="664162EF" w14:textId="77777777" w:rsidR="000C60C3" w:rsidRDefault="000C60C3"/>
    <w:p w14:paraId="757D46FC" w14:textId="18319048" w:rsidR="000C60C3" w:rsidRDefault="001C2764">
      <w:r>
        <w:t>G</w:t>
      </w:r>
      <w:r w:rsidR="006F3ECC">
        <w:t>radually</w:t>
      </w:r>
      <w:r>
        <w:t>, however,</w:t>
      </w:r>
      <w:r w:rsidR="00443B67">
        <w:t xml:space="preserve"> photograph</w:t>
      </w:r>
      <w:r w:rsidR="006F3ECC">
        <w:t>s</w:t>
      </w:r>
      <w:r w:rsidR="00443B67">
        <w:t xml:space="preserve"> began to effect </w:t>
      </w:r>
      <w:r w:rsidR="00D2088D">
        <w:t>transformations</w:t>
      </w:r>
      <w:r w:rsidR="006F3ECC">
        <w:t xml:space="preserve"> in scholarly practice</w:t>
      </w:r>
      <w:r w:rsidR="00443B67">
        <w:t xml:space="preserve">. They </w:t>
      </w:r>
      <w:r w:rsidR="00D2088D">
        <w:t>permitted</w:t>
      </w:r>
      <w:r w:rsidR="00443B67">
        <w:t xml:space="preserve"> a far </w:t>
      </w:r>
      <w:r w:rsidR="00D2088D">
        <w:t>better</w:t>
      </w:r>
      <w:r w:rsidR="00443B67">
        <w:t xml:space="preserve"> understanding of regional, cultural and </w:t>
      </w:r>
      <w:r w:rsidR="00D2088D">
        <w:t>chronological</w:t>
      </w:r>
      <w:r w:rsidR="00443B67">
        <w:t xml:space="preserve"> </w:t>
      </w:r>
      <w:r w:rsidR="00D2088D">
        <w:t>distinctions</w:t>
      </w:r>
      <w:r w:rsidR="00443B67">
        <w:t xml:space="preserve">, which could be communicated to readers who would have no opportunity to see the stones themselves. And they </w:t>
      </w:r>
      <w:r w:rsidR="006F3ECC">
        <w:t>provided</w:t>
      </w:r>
      <w:r w:rsidR="00443B67">
        <w:t xml:space="preserve"> an </w:t>
      </w:r>
      <w:r w:rsidR="00D2088D">
        <w:t>increasing</w:t>
      </w:r>
      <w:r w:rsidR="00443B67">
        <w:t xml:space="preserve"> understanding of </w:t>
      </w:r>
      <w:r w:rsidR="00443B67" w:rsidRPr="000406D7">
        <w:rPr>
          <w:b/>
        </w:rPr>
        <w:t>context</w:t>
      </w:r>
      <w:r w:rsidR="00443B67">
        <w:t xml:space="preserve"> – whose </w:t>
      </w:r>
      <w:r w:rsidR="00D2088D">
        <w:t>importance</w:t>
      </w:r>
      <w:r w:rsidR="00443B67">
        <w:t xml:space="preserve"> was emphasised by both Louis Robert and, more recently, Werner Eck. </w:t>
      </w:r>
      <w:r w:rsidR="00D2088D">
        <w:t>The photograph can present the support, and, when applicable, the setting of that support; Robert emphasised the importance of visualising the landscape surrounding a particular community.</w:t>
      </w:r>
    </w:p>
    <w:p w14:paraId="632CF296" w14:textId="77777777" w:rsidR="00F96A7C" w:rsidRDefault="00F96A7C"/>
    <w:p w14:paraId="4E63435A" w14:textId="6955F9C3" w:rsidR="00F96A7C" w:rsidRDefault="00D2088D">
      <w:r>
        <w:t xml:space="preserve">Robert also demanded </w:t>
      </w:r>
      <w:proofErr w:type="gramStart"/>
      <w:r>
        <w:t>ever higher</w:t>
      </w:r>
      <w:proofErr w:type="gramEnd"/>
      <w:r>
        <w:t xml:space="preserve"> </w:t>
      </w:r>
      <w:r w:rsidRPr="000406D7">
        <w:rPr>
          <w:b/>
        </w:rPr>
        <w:t>standards</w:t>
      </w:r>
      <w:r>
        <w:t xml:space="preserve"> in the accompanying commentaries on inscriptions. But all of this raised a huge logistical problem: a text accompanied by a detailed description</w:t>
      </w:r>
      <w:r w:rsidR="006F3ECC">
        <w:t>,</w:t>
      </w:r>
      <w:r>
        <w:t xml:space="preserve"> a detailed commentary and one or more photographs requires a good deal of space – and more and more texts were appearing. </w:t>
      </w:r>
      <w:r w:rsidR="000B5815">
        <w:t xml:space="preserve">From the 1980s onwards it was also becoming standard to provide a translation into a modern language. </w:t>
      </w:r>
      <w:r>
        <w:t xml:space="preserve">Publication in book form was becoming increasingly expensive and </w:t>
      </w:r>
      <w:r w:rsidR="008765E5">
        <w:t>burden</w:t>
      </w:r>
      <w:r>
        <w:t>some.</w:t>
      </w:r>
    </w:p>
    <w:p w14:paraId="511BABE3" w14:textId="77777777" w:rsidR="00F96A7C" w:rsidRDefault="00F96A7C"/>
    <w:p w14:paraId="5A1A9054" w14:textId="4078DC05" w:rsidR="008765E5" w:rsidRDefault="00D2088D" w:rsidP="00D2088D">
      <w:r>
        <w:t xml:space="preserve">It was therefore changes </w:t>
      </w:r>
      <w:r w:rsidR="00892FF9">
        <w:t xml:space="preserve">which had been </w:t>
      </w:r>
      <w:r>
        <w:t>brought about by a series of technological developments which led far-sighted scholars – in particular Silvio</w:t>
      </w:r>
      <w:r w:rsidR="006613E3">
        <w:t xml:space="preserve"> </w:t>
      </w:r>
      <w:proofErr w:type="spellStart"/>
      <w:proofErr w:type="gramStart"/>
      <w:r w:rsidR="00F96A7C">
        <w:t>Panciera</w:t>
      </w:r>
      <w:proofErr w:type="spellEnd"/>
      <w:r w:rsidR="00F96A7C">
        <w:t xml:space="preserve">  and</w:t>
      </w:r>
      <w:proofErr w:type="gramEnd"/>
      <w:r w:rsidR="00F96A7C">
        <w:t xml:space="preserve"> </w:t>
      </w:r>
      <w:proofErr w:type="spellStart"/>
      <w:r>
        <w:t>Geza</w:t>
      </w:r>
      <w:proofErr w:type="spellEnd"/>
      <w:r>
        <w:t xml:space="preserve"> </w:t>
      </w:r>
      <w:proofErr w:type="spellStart"/>
      <w:r w:rsidR="00F96A7C">
        <w:t>Alföldy</w:t>
      </w:r>
      <w:proofErr w:type="spellEnd"/>
      <w:r w:rsidR="00F96A7C">
        <w:t xml:space="preserve"> </w:t>
      </w:r>
      <w:r>
        <w:t xml:space="preserve">– to look to yet another technology. </w:t>
      </w:r>
      <w:r w:rsidR="00D64270">
        <w:t>As early as the 1980s</w:t>
      </w:r>
      <w:r>
        <w:t xml:space="preserve"> they both saw the value of </w:t>
      </w:r>
      <w:r w:rsidRPr="00892FF9">
        <w:rPr>
          <w:b/>
        </w:rPr>
        <w:t>computers</w:t>
      </w:r>
      <w:r>
        <w:t xml:space="preserve"> as tools for holding, organising and searching large volumes of text</w:t>
      </w:r>
      <w:r w:rsidR="00EE2B52">
        <w:t>; oth</w:t>
      </w:r>
      <w:r w:rsidR="008765E5">
        <w:t>e</w:t>
      </w:r>
      <w:r w:rsidR="00EE2B52">
        <w:t xml:space="preserve">rs quickly followed. </w:t>
      </w:r>
      <w:proofErr w:type="spellStart"/>
      <w:r w:rsidR="00D64270">
        <w:t>Panciera</w:t>
      </w:r>
      <w:proofErr w:type="spellEnd"/>
      <w:r w:rsidR="00D64270">
        <w:t xml:space="preserve"> also understood early</w:t>
      </w:r>
      <w:r w:rsidR="008765E5">
        <w:t xml:space="preserve"> on that working in this medium</w:t>
      </w:r>
      <w:r w:rsidR="00D64270">
        <w:t xml:space="preserve"> required collaboration, and </w:t>
      </w:r>
      <w:r w:rsidR="008765E5">
        <w:t>t</w:t>
      </w:r>
      <w:r w:rsidR="006F3ECC">
        <w:t>he use of agreed standards</w:t>
      </w:r>
      <w:r w:rsidR="00892FF9">
        <w:t>, con</w:t>
      </w:r>
      <w:r w:rsidR="006F3ECC">
        <w:t xml:space="preserve">vening meetings to discuss such matters from 1989 onwards. </w:t>
      </w:r>
      <w:r w:rsidR="008765E5">
        <w:t xml:space="preserve"> With the ar</w:t>
      </w:r>
      <w:r w:rsidR="00892FF9">
        <w:t>rival of the web, and the resul</w:t>
      </w:r>
      <w:r w:rsidR="008765E5">
        <w:t xml:space="preserve">tant possibilities for communication, these requirements became ever more important; in the early 2000s the agreed conventions of epigraphy were translated into a set of machine readable instructions by Tom Elliott, when he developed </w:t>
      </w:r>
      <w:proofErr w:type="spellStart"/>
      <w:r w:rsidR="008765E5">
        <w:t>EpiDoc</w:t>
      </w:r>
      <w:proofErr w:type="spellEnd"/>
      <w:r w:rsidR="008765E5">
        <w:t>.</w:t>
      </w:r>
      <w:r w:rsidR="008765E5">
        <w:rPr>
          <w:rStyle w:val="FootnoteReference"/>
        </w:rPr>
        <w:footnoteReference w:id="8"/>
      </w:r>
      <w:r w:rsidR="008765E5">
        <w:t xml:space="preserve"> </w:t>
      </w:r>
    </w:p>
    <w:p w14:paraId="0895AD08" w14:textId="77777777" w:rsidR="008765E5" w:rsidRDefault="008765E5" w:rsidP="00D2088D"/>
    <w:p w14:paraId="6F75EA4E" w14:textId="06F1F6C6" w:rsidR="00983FBE" w:rsidRDefault="00983FBE" w:rsidP="00983FBE">
      <w:r>
        <w:t xml:space="preserve">At the same </w:t>
      </w:r>
      <w:r w:rsidR="008765E5">
        <w:t xml:space="preserve">time, the steady improvements in technology were </w:t>
      </w:r>
      <w:proofErr w:type="gramStart"/>
      <w:r w:rsidR="008765E5">
        <w:t>making  it</w:t>
      </w:r>
      <w:proofErr w:type="gramEnd"/>
      <w:r w:rsidR="008765E5">
        <w:t xml:space="preserve"> possible, by the 2000s, to exchange images as well as texts; and the arrival of the digital camera was transforming the possibilit</w:t>
      </w:r>
      <w:r w:rsidR="00823D47">
        <w:t>i</w:t>
      </w:r>
      <w:r w:rsidR="008765E5">
        <w:t>es for photographing texts. The epigrapher in the field no longer depends on a finite supply of film: the tradit</w:t>
      </w:r>
      <w:r w:rsidR="009C6F2B">
        <w:t>i</w:t>
      </w:r>
      <w:r w:rsidR="008765E5">
        <w:t xml:space="preserve">onal </w:t>
      </w:r>
      <w:r>
        <w:t>shot</w:t>
      </w:r>
      <w:r w:rsidR="008765E5">
        <w:t xml:space="preserve"> of sever</w:t>
      </w:r>
      <w:r>
        <w:t>a</w:t>
      </w:r>
      <w:r w:rsidR="008765E5">
        <w:t>l fragments photographe</w:t>
      </w:r>
      <w:r>
        <w:t>d</w:t>
      </w:r>
      <w:r w:rsidR="008765E5">
        <w:t xml:space="preserve"> togeth</w:t>
      </w:r>
      <w:r>
        <w:t>e</w:t>
      </w:r>
      <w:r w:rsidR="008765E5">
        <w:t xml:space="preserve">r </w:t>
      </w:r>
      <w:r w:rsidR="00892FF9">
        <w:t>for reasons of economy</w:t>
      </w:r>
      <w:r w:rsidR="008765E5">
        <w:t xml:space="preserve"> is disappearing. Instead, the epigrapher should be expected to present images of every side of a monument and </w:t>
      </w:r>
      <w:proofErr w:type="gramStart"/>
      <w:r w:rsidR="008765E5">
        <w:t>its</w:t>
      </w:r>
      <w:proofErr w:type="gramEnd"/>
      <w:r w:rsidR="008765E5">
        <w:t xml:space="preserve"> </w:t>
      </w:r>
      <w:r>
        <w:t xml:space="preserve">setting. All these developments both enabled and necessitated the first large scale publications of inscriptions on line: </w:t>
      </w:r>
      <w:proofErr w:type="spellStart"/>
      <w:r w:rsidRPr="00892FF9">
        <w:rPr>
          <w:i/>
          <w:lang w:val="en-US"/>
        </w:rPr>
        <w:t>Vindolanda</w:t>
      </w:r>
      <w:proofErr w:type="spellEnd"/>
      <w:r w:rsidRPr="00892FF9">
        <w:rPr>
          <w:i/>
          <w:lang w:val="en-US"/>
        </w:rPr>
        <w:t xml:space="preserve"> Tablets Online</w:t>
      </w:r>
      <w:r>
        <w:rPr>
          <w:lang w:val="en-US"/>
        </w:rPr>
        <w:t>,</w:t>
      </w:r>
      <w:r>
        <w:rPr>
          <w:rStyle w:val="FootnoteReference"/>
          <w:rFonts w:ascii="Times New Roman" w:hAnsi="Times New Roman" w:cs="Times New Roman"/>
          <w:sz w:val="22"/>
          <w:szCs w:val="22"/>
          <w:lang w:val="en-US"/>
        </w:rPr>
        <w:footnoteReference w:id="9"/>
      </w:r>
      <w:r>
        <w:rPr>
          <w:lang w:val="en-US"/>
        </w:rPr>
        <w:t xml:space="preserve"> </w:t>
      </w:r>
      <w:r w:rsidRPr="00983FBE">
        <w:t xml:space="preserve">(2003), the </w:t>
      </w:r>
      <w:r w:rsidRPr="00892FF9">
        <w:rPr>
          <w:i/>
        </w:rPr>
        <w:t>U.S. Epigraphy project</w:t>
      </w:r>
      <w:r w:rsidRPr="00983FBE">
        <w:t>,</w:t>
      </w:r>
      <w:r>
        <w:rPr>
          <w:rStyle w:val="FootnoteReference"/>
        </w:rPr>
        <w:footnoteReference w:id="10"/>
      </w:r>
      <w:r w:rsidRPr="00983FBE">
        <w:t xml:space="preserve"> (2003–), </w:t>
      </w:r>
      <w:r w:rsidRPr="00892FF9">
        <w:rPr>
          <w:i/>
        </w:rPr>
        <w:t>Aphrodisias in Late Antiquity</w:t>
      </w:r>
      <w:r w:rsidRPr="00983FBE">
        <w:t xml:space="preserve"> (2004),</w:t>
      </w:r>
      <w:r w:rsidRPr="00983FBE">
        <w:rPr>
          <w:rStyle w:val="FootnoteReference"/>
        </w:rPr>
        <w:t xml:space="preserve"> </w:t>
      </w:r>
      <w:r>
        <w:rPr>
          <w:rStyle w:val="FootnoteReference"/>
        </w:rPr>
        <w:footnoteReference w:id="11"/>
      </w:r>
      <w:proofErr w:type="gramStart"/>
      <w:r w:rsidRPr="00983FBE">
        <w:t xml:space="preserve">  the</w:t>
      </w:r>
      <w:proofErr w:type="gramEnd"/>
      <w:r w:rsidRPr="00983FBE">
        <w:t xml:space="preserve"> </w:t>
      </w:r>
      <w:r w:rsidRPr="00892FF9">
        <w:rPr>
          <w:i/>
        </w:rPr>
        <w:t>Inscriptions of Aphrodisias</w:t>
      </w:r>
      <w:r w:rsidRPr="00983FBE">
        <w:t xml:space="preserve"> (2007),</w:t>
      </w:r>
      <w:r>
        <w:rPr>
          <w:rStyle w:val="FootnoteReference"/>
        </w:rPr>
        <w:footnoteReference w:id="12"/>
      </w:r>
      <w:r w:rsidRPr="00983FBE">
        <w:t xml:space="preserve"> and others in preparation.</w:t>
      </w:r>
    </w:p>
    <w:p w14:paraId="52A4B5EF" w14:textId="77777777" w:rsidR="00823D47" w:rsidRDefault="00823D47" w:rsidP="00983FBE"/>
    <w:p w14:paraId="7A14408F" w14:textId="03FCE282" w:rsidR="00823D47" w:rsidRPr="00823D47" w:rsidRDefault="00823D47" w:rsidP="00823D47">
      <w:r w:rsidRPr="006716FF">
        <w:rPr>
          <w:lang w:val="en-US"/>
        </w:rPr>
        <w:t>While we were working on the materials from Aphrodisias, new possibilities were opening up: connections were becoming faster and more ubiquitous</w:t>
      </w:r>
      <w:r>
        <w:rPr>
          <w:lang w:val="en-US"/>
        </w:rPr>
        <w:t xml:space="preserve">. </w:t>
      </w:r>
      <w:r w:rsidRPr="006716FF">
        <w:rPr>
          <w:lang w:val="en-US"/>
        </w:rPr>
        <w:t>More and more relevant material was being published online</w:t>
      </w:r>
      <w:r>
        <w:t xml:space="preserve">: </w:t>
      </w:r>
      <w:r>
        <w:rPr>
          <w:lang w:val="en-US"/>
        </w:rPr>
        <w:t>w</w:t>
      </w:r>
      <w:r w:rsidR="009C6F2B">
        <w:rPr>
          <w:lang w:val="en-US"/>
        </w:rPr>
        <w:t>hat Tim Berners-Lee calls t</w:t>
      </w:r>
      <w:bookmarkStart w:id="0" w:name="_GoBack"/>
      <w:bookmarkEnd w:id="0"/>
      <w:r w:rsidRPr="006716FF">
        <w:rPr>
          <w:i/>
          <w:iCs/>
          <w:lang w:val="en-US"/>
        </w:rPr>
        <w:t>he next Web of open</w:t>
      </w:r>
      <w:r w:rsidRPr="00823D47">
        <w:rPr>
          <w:b/>
          <w:i/>
          <w:iCs/>
          <w:lang w:val="en-US"/>
        </w:rPr>
        <w:t>, linked data</w:t>
      </w:r>
      <w:r>
        <w:rPr>
          <w:b/>
          <w:i/>
          <w:iCs/>
          <w:lang w:val="en-US"/>
        </w:rPr>
        <w:t xml:space="preserve">. </w:t>
      </w:r>
      <w:r>
        <w:rPr>
          <w:iCs/>
          <w:lang w:val="en-US"/>
        </w:rPr>
        <w:t xml:space="preserve">In 2008 we received a grant to start exploring the use of </w:t>
      </w:r>
      <w:proofErr w:type="spellStart"/>
      <w:r>
        <w:rPr>
          <w:iCs/>
          <w:lang w:val="en-US"/>
        </w:rPr>
        <w:t>geodata</w:t>
      </w:r>
      <w:proofErr w:type="spellEnd"/>
      <w:r>
        <w:rPr>
          <w:iCs/>
          <w:lang w:val="en-US"/>
        </w:rPr>
        <w:t xml:space="preserve"> with inscriptions, in </w:t>
      </w:r>
      <w:r w:rsidRPr="00983FBE">
        <w:t xml:space="preserve">the </w:t>
      </w:r>
      <w:r w:rsidRPr="00892FF9">
        <w:rPr>
          <w:i/>
        </w:rPr>
        <w:t>Inscriptions of Roman Tripolitania</w:t>
      </w:r>
      <w:r w:rsidRPr="00983FBE">
        <w:t xml:space="preserve"> (2009)</w:t>
      </w:r>
      <w:r>
        <w:t>;</w:t>
      </w:r>
      <w:r>
        <w:rPr>
          <w:rStyle w:val="FootnoteReference"/>
        </w:rPr>
        <w:footnoteReference w:id="13"/>
      </w:r>
      <w:r>
        <w:t xml:space="preserve"> this approach has been further developed in </w:t>
      </w:r>
      <w:proofErr w:type="spellStart"/>
      <w:r w:rsidRPr="00823D47">
        <w:rPr>
          <w:i/>
        </w:rPr>
        <w:t>Monumenta</w:t>
      </w:r>
      <w:proofErr w:type="spellEnd"/>
      <w:r w:rsidRPr="00823D47">
        <w:rPr>
          <w:i/>
        </w:rPr>
        <w:t xml:space="preserve"> </w:t>
      </w:r>
      <w:proofErr w:type="spellStart"/>
      <w:r w:rsidRPr="00823D47">
        <w:rPr>
          <w:i/>
        </w:rPr>
        <w:t>Asiae</w:t>
      </w:r>
      <w:proofErr w:type="spellEnd"/>
      <w:r w:rsidRPr="00823D47">
        <w:rPr>
          <w:i/>
        </w:rPr>
        <w:t xml:space="preserve"> </w:t>
      </w:r>
      <w:proofErr w:type="spellStart"/>
      <w:r w:rsidRPr="00823D47">
        <w:rPr>
          <w:i/>
        </w:rPr>
        <w:t>Minoris</w:t>
      </w:r>
      <w:proofErr w:type="spellEnd"/>
      <w:r w:rsidRPr="00823D47">
        <w:rPr>
          <w:i/>
        </w:rPr>
        <w:t xml:space="preserve"> Antiqua</w:t>
      </w:r>
      <w:r>
        <w:t xml:space="preserve"> XI,</w:t>
      </w:r>
      <w:r>
        <w:rPr>
          <w:rStyle w:val="FootnoteReference"/>
        </w:rPr>
        <w:footnoteReference w:id="14"/>
      </w:r>
      <w:proofErr w:type="gramStart"/>
      <w:r>
        <w:t xml:space="preserve">  and</w:t>
      </w:r>
      <w:proofErr w:type="gramEnd"/>
      <w:r>
        <w:t xml:space="preserve"> other kinds of interconnection are being actively explored. Linking is closely connected to </w:t>
      </w:r>
      <w:r w:rsidRPr="00823D47">
        <w:rPr>
          <w:b/>
        </w:rPr>
        <w:t>sharing</w:t>
      </w:r>
      <w:r>
        <w:t>: it is becoming increasingly clear that one way of ensuring the survival of our materials is by making them openly available for others to reuse and share as widely as possible.</w:t>
      </w:r>
    </w:p>
    <w:p w14:paraId="50304EF1" w14:textId="77777777" w:rsidR="00823D47" w:rsidRDefault="00823D47" w:rsidP="00983FBE"/>
    <w:p w14:paraId="7BCC1041" w14:textId="175AC5C6" w:rsidR="00983FBE" w:rsidRDefault="009A5B51" w:rsidP="00983FBE">
      <w:pPr>
        <w:rPr>
          <w:rFonts w:ascii="Times New Roman" w:hAnsi="Times New Roman" w:cs="Times New Roman"/>
          <w:sz w:val="14"/>
          <w:szCs w:val="14"/>
          <w:lang w:val="en-US"/>
        </w:rPr>
      </w:pPr>
      <w:r>
        <w:t xml:space="preserve">One of the aims of both </w:t>
      </w:r>
      <w:proofErr w:type="spellStart"/>
      <w:r>
        <w:t>Alföldy</w:t>
      </w:r>
      <w:proofErr w:type="spellEnd"/>
      <w:r>
        <w:t xml:space="preserve"> and </w:t>
      </w:r>
      <w:proofErr w:type="spellStart"/>
      <w:r>
        <w:t>Panciera</w:t>
      </w:r>
      <w:proofErr w:type="spellEnd"/>
      <w:r>
        <w:t xml:space="preserve"> had been to develop collaborative corpora, places where large quantities of texts could be </w:t>
      </w:r>
      <w:r w:rsidR="00823D47">
        <w:t xml:space="preserve">shared </w:t>
      </w:r>
      <w:r>
        <w:t>to enable extensive searching. After their projects moved onto the web it also became possible to include more and more material – photographs and oth</w:t>
      </w:r>
      <w:r w:rsidR="00892FF9">
        <w:t>e</w:t>
      </w:r>
      <w:r>
        <w:t xml:space="preserve">r images, and </w:t>
      </w:r>
      <w:proofErr w:type="spellStart"/>
      <w:r>
        <w:t>geodata</w:t>
      </w:r>
      <w:proofErr w:type="spellEnd"/>
      <w:r>
        <w:t xml:space="preserve">. It was Silvia </w:t>
      </w:r>
      <w:proofErr w:type="spellStart"/>
      <w:r>
        <w:t>Orlandi</w:t>
      </w:r>
      <w:proofErr w:type="spellEnd"/>
      <w:r>
        <w:t xml:space="preserve"> who realised that the next step was a portal, to offer access across these and many other</w:t>
      </w:r>
      <w:r w:rsidR="006F3ECC">
        <w:t xml:space="preserve"> online epigraphic collections. Work over several years, by many different scholars, had established </w:t>
      </w:r>
      <w:proofErr w:type="spellStart"/>
      <w:r w:rsidR="006F3ECC">
        <w:t>EpiDoc</w:t>
      </w:r>
      <w:proofErr w:type="spellEnd"/>
      <w:r w:rsidR="006F3ECC">
        <w:t xml:space="preserve"> as a robust system, particularly for the exchange of information, and it was th</w:t>
      </w:r>
      <w:r w:rsidR="000B5815">
        <w:t>e</w:t>
      </w:r>
      <w:r w:rsidR="006F3ECC">
        <w:t>refore av</w:t>
      </w:r>
      <w:r w:rsidR="000B5815">
        <w:t>ai</w:t>
      </w:r>
      <w:r w:rsidR="006F3ECC">
        <w:t xml:space="preserve">lable to build </w:t>
      </w:r>
      <w:r w:rsidR="006F3ECC" w:rsidRPr="00823D47">
        <w:rPr>
          <w:b/>
        </w:rPr>
        <w:t>EAGLE</w:t>
      </w:r>
      <w:r w:rsidR="000B5815">
        <w:t xml:space="preserve">. The spirit of this enterprise was exactly the spirit behind </w:t>
      </w:r>
      <w:proofErr w:type="spellStart"/>
      <w:r w:rsidR="000B5815">
        <w:t>Europeana</w:t>
      </w:r>
      <w:proofErr w:type="spellEnd"/>
      <w:r w:rsidR="000B5815">
        <w:t xml:space="preserve"> </w:t>
      </w:r>
      <w:proofErr w:type="gramStart"/>
      <w:r w:rsidR="000B5815">
        <w:t xml:space="preserve">– </w:t>
      </w:r>
      <w:r w:rsidR="00892FF9">
        <w:t xml:space="preserve"> a</w:t>
      </w:r>
      <w:proofErr w:type="gramEnd"/>
      <w:r w:rsidR="00892FF9">
        <w:t xml:space="preserve"> p</w:t>
      </w:r>
      <w:r w:rsidR="000B5815">
        <w:t>roject to present high quality records of heritage materials to a worldwide audience.</w:t>
      </w:r>
      <w:r>
        <w:t xml:space="preserve"> </w:t>
      </w:r>
    </w:p>
    <w:p w14:paraId="455C40C6" w14:textId="77777777" w:rsidR="00983FBE" w:rsidRDefault="00983FBE" w:rsidP="00983FBE"/>
    <w:p w14:paraId="3F6AD61D" w14:textId="49E0A0C8" w:rsidR="00E91E83" w:rsidRDefault="000B5815">
      <w:r>
        <w:t>This is an account, th</w:t>
      </w:r>
      <w:r w:rsidR="00892FF9">
        <w:t>e</w:t>
      </w:r>
      <w:r w:rsidR="000406D7">
        <w:t xml:space="preserve">refore, of an academic </w:t>
      </w:r>
      <w:proofErr w:type="gramStart"/>
      <w:r w:rsidR="000406D7">
        <w:t>disci</w:t>
      </w:r>
      <w:r>
        <w:t>pline which</w:t>
      </w:r>
      <w:proofErr w:type="gramEnd"/>
      <w:r>
        <w:t xml:space="preserve"> has evolved by engagement with a series of technological developments over two centuries, and is continuing to do so; it is also a story of developing steadily higher standards for the publication of heritage materials. The current challenge is to conf</w:t>
      </w:r>
      <w:r w:rsidR="00032521">
        <w:t>ront the fact that such materials</w:t>
      </w:r>
      <w:r>
        <w:t xml:space="preserve"> will now be universally available, and must th</w:t>
      </w:r>
      <w:r w:rsidR="00032521">
        <w:t>e</w:t>
      </w:r>
      <w:r>
        <w:t xml:space="preserve">refore be presented in a way that helps and supports </w:t>
      </w:r>
      <w:r w:rsidRPr="00892FF9">
        <w:rPr>
          <w:b/>
        </w:rPr>
        <w:t>new audiences</w:t>
      </w:r>
      <w:r>
        <w:t xml:space="preserve">. For this the EAGLE project has been developing </w:t>
      </w:r>
      <w:r w:rsidR="00032521">
        <w:t>valuable</w:t>
      </w:r>
      <w:r>
        <w:t xml:space="preserve"> new resources – such as the mobile app –and, very importantly, encouraging translations. The </w:t>
      </w:r>
      <w:r w:rsidR="00032521">
        <w:t>crucial</w:t>
      </w:r>
      <w:r>
        <w:t xml:space="preserve"> thing to realise is that it will not be possible to revert to earlier models: this project sets new, higher standards for epigraphic publication. This is a project which will take the subject into the future</w:t>
      </w:r>
      <w:r w:rsidR="00032521">
        <w:t xml:space="preserve"> ‘</w:t>
      </w:r>
      <w:r>
        <w:rPr>
          <w:rStyle w:val="st"/>
          <w:rFonts w:eastAsia="Times New Roman" w:cs="Times New Roman"/>
        </w:rPr>
        <w:t xml:space="preserve">on </w:t>
      </w:r>
      <w:r w:rsidRPr="000B5815">
        <w:rPr>
          <w:rStyle w:val="Emphasis"/>
          <w:rFonts w:eastAsia="Times New Roman" w:cs="Times New Roman"/>
          <w:i w:val="0"/>
        </w:rPr>
        <w:t>eagles</w:t>
      </w:r>
      <w:r w:rsidR="00032521">
        <w:rPr>
          <w:rStyle w:val="Emphasis"/>
          <w:rFonts w:eastAsia="Times New Roman" w:cs="Times New Roman"/>
          <w:i w:val="0"/>
        </w:rPr>
        <w:t>’ wings’</w:t>
      </w:r>
      <w:r w:rsidR="00032521">
        <w:rPr>
          <w:rStyle w:val="st"/>
          <w:rFonts w:eastAsia="Times New Roman" w:cs="Times New Roman"/>
        </w:rPr>
        <w:t>, as the Bible puts it – in another phrase used by Hollywood.</w:t>
      </w:r>
      <w:r w:rsidR="00032521">
        <w:rPr>
          <w:rStyle w:val="FootnoteReference"/>
          <w:rFonts w:eastAsia="Times New Roman" w:cs="Times New Roman"/>
        </w:rPr>
        <w:footnoteReference w:id="15"/>
      </w:r>
      <w:r w:rsidR="00032521">
        <w:rPr>
          <w:rStyle w:val="st"/>
          <w:rFonts w:eastAsia="Times New Roman" w:cs="Times New Roman"/>
        </w:rPr>
        <w:t xml:space="preserve"> </w:t>
      </w:r>
      <w:r w:rsidR="00823D47">
        <w:rPr>
          <w:rStyle w:val="st"/>
          <w:rFonts w:eastAsia="Times New Roman" w:cs="Times New Roman"/>
        </w:rPr>
        <w:t>They</w:t>
      </w:r>
      <w:r w:rsidR="00032521">
        <w:rPr>
          <w:rStyle w:val="st"/>
          <w:rFonts w:eastAsia="Times New Roman" w:cs="Times New Roman"/>
        </w:rPr>
        <w:t xml:space="preserve"> </w:t>
      </w:r>
      <w:r w:rsidR="00823D47">
        <w:rPr>
          <w:rStyle w:val="st"/>
          <w:rFonts w:eastAsia="Times New Roman" w:cs="Times New Roman"/>
        </w:rPr>
        <w:t>should</w:t>
      </w:r>
      <w:r w:rsidR="00032521">
        <w:rPr>
          <w:rStyle w:val="st"/>
          <w:rFonts w:eastAsia="Times New Roman" w:cs="Times New Roman"/>
        </w:rPr>
        <w:t xml:space="preserve"> be taking us all with them.</w:t>
      </w:r>
    </w:p>
    <w:p w14:paraId="00A4DCE6" w14:textId="77777777" w:rsidR="00E91E83" w:rsidRPr="00FA13CB" w:rsidRDefault="00E91E83"/>
    <w:sectPr w:rsidR="00E91E83" w:rsidRPr="00FA13CB" w:rsidSect="004A46E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4B81EA" w14:textId="77777777" w:rsidR="006613E3" w:rsidRDefault="006613E3" w:rsidP="003A117F">
      <w:r>
        <w:separator/>
      </w:r>
    </w:p>
  </w:endnote>
  <w:endnote w:type="continuationSeparator" w:id="0">
    <w:p w14:paraId="43A50F56" w14:textId="77777777" w:rsidR="006613E3" w:rsidRDefault="006613E3" w:rsidP="003A1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antinghei TC Extralight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861B3D" w14:textId="77777777" w:rsidR="006613E3" w:rsidRDefault="006613E3" w:rsidP="003A117F">
      <w:r>
        <w:separator/>
      </w:r>
    </w:p>
  </w:footnote>
  <w:footnote w:type="continuationSeparator" w:id="0">
    <w:p w14:paraId="49620E97" w14:textId="77777777" w:rsidR="006613E3" w:rsidRDefault="006613E3" w:rsidP="003A117F">
      <w:r>
        <w:continuationSeparator/>
      </w:r>
    </w:p>
  </w:footnote>
  <w:footnote w:id="1">
    <w:p w14:paraId="1A1D6A0F" w14:textId="7DB92DBF" w:rsidR="006613E3" w:rsidRPr="00B26613" w:rsidRDefault="006613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eastAsia="Times New Roman" w:cs="Times New Roman"/>
        </w:rPr>
        <w:t>Robert Wood (1716/17–1771): doi</w:t>
      </w:r>
      <w:proofErr w:type="gramStart"/>
      <w:r>
        <w:rPr>
          <w:rFonts w:eastAsia="Times New Roman" w:cs="Times New Roman"/>
        </w:rPr>
        <w:t>:10.1093</w:t>
      </w:r>
      <w:proofErr w:type="gramEnd"/>
      <w:r>
        <w:rPr>
          <w:rFonts w:eastAsia="Times New Roman" w:cs="Times New Roman"/>
        </w:rPr>
        <w:t>/</w:t>
      </w:r>
      <w:proofErr w:type="spellStart"/>
      <w:r>
        <w:rPr>
          <w:rFonts w:eastAsia="Times New Roman" w:cs="Times New Roman"/>
        </w:rPr>
        <w:t>ref:odnb</w:t>
      </w:r>
      <w:proofErr w:type="spellEnd"/>
      <w:r>
        <w:rPr>
          <w:rFonts w:eastAsia="Times New Roman" w:cs="Times New Roman"/>
        </w:rPr>
        <w:t>/29891</w:t>
      </w:r>
    </w:p>
  </w:footnote>
  <w:footnote w:id="2">
    <w:p w14:paraId="0D314F84" w14:textId="17802DD0" w:rsidR="006613E3" w:rsidRPr="001C2764" w:rsidRDefault="006613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eastAsia="Times New Roman" w:cs="Times New Roman"/>
        </w:rPr>
        <w:t xml:space="preserve">John Peter </w:t>
      </w:r>
      <w:proofErr w:type="spellStart"/>
      <w:r>
        <w:rPr>
          <w:rFonts w:eastAsia="Times New Roman" w:cs="Times New Roman"/>
        </w:rPr>
        <w:t>Deering</w:t>
      </w:r>
      <w:proofErr w:type="spellEnd"/>
      <w:r>
        <w:rPr>
          <w:rFonts w:eastAsia="Times New Roman" w:cs="Times New Roman"/>
        </w:rPr>
        <w:t xml:space="preserve"> (1787–1850): doi</w:t>
      </w:r>
      <w:proofErr w:type="gramStart"/>
      <w:r>
        <w:rPr>
          <w:rFonts w:eastAsia="Times New Roman" w:cs="Times New Roman"/>
        </w:rPr>
        <w:t>:10.1093</w:t>
      </w:r>
      <w:proofErr w:type="gramEnd"/>
      <w:r>
        <w:rPr>
          <w:rFonts w:eastAsia="Times New Roman" w:cs="Times New Roman"/>
        </w:rPr>
        <w:t>/</w:t>
      </w:r>
      <w:proofErr w:type="spellStart"/>
      <w:r>
        <w:rPr>
          <w:rFonts w:eastAsia="Times New Roman" w:cs="Times New Roman"/>
        </w:rPr>
        <w:t>ref:odnb</w:t>
      </w:r>
      <w:proofErr w:type="spellEnd"/>
      <w:r>
        <w:rPr>
          <w:rFonts w:eastAsia="Times New Roman" w:cs="Times New Roman"/>
        </w:rPr>
        <w:t>/7420</w:t>
      </w:r>
    </w:p>
  </w:footnote>
  <w:footnote w:id="3">
    <w:p w14:paraId="5E9284FF" w14:textId="5CE4DADE" w:rsidR="006613E3" w:rsidRPr="001C2764" w:rsidRDefault="006613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1C2764">
        <w:t>http://www.asia.si.edu/research/squeezeproject/sq_making.asp</w:t>
      </w:r>
    </w:p>
  </w:footnote>
  <w:footnote w:id="4">
    <w:p w14:paraId="09311F72" w14:textId="646B4557" w:rsidR="006613E3" w:rsidRPr="00D64270" w:rsidRDefault="006613E3">
      <w:pPr>
        <w:pStyle w:val="FootnoteText"/>
        <w:rPr>
          <w:lang w:val="en-US"/>
        </w:rPr>
      </w:pPr>
      <w:r w:rsidRPr="00D64270">
        <w:rPr>
          <w:rStyle w:val="FootnoteReference"/>
        </w:rPr>
        <w:footnoteRef/>
      </w:r>
      <w:r w:rsidRPr="00D64270">
        <w:t xml:space="preserve"> http://www.oeaw.ac.at/en/science-and-society/commissions/kleinasiatische-kommission/geschichte/</w:t>
      </w:r>
    </w:p>
  </w:footnote>
  <w:footnote w:id="5">
    <w:p w14:paraId="6C24447E" w14:textId="5A6012DE" w:rsidR="006613E3" w:rsidRPr="00D36D07" w:rsidRDefault="006613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Fund- und </w:t>
      </w:r>
      <w:proofErr w:type="spellStart"/>
      <w:r>
        <w:t>Standort</w:t>
      </w:r>
      <w:proofErr w:type="spellEnd"/>
      <w:r>
        <w:t xml:space="preserve">, Material, </w:t>
      </w:r>
      <w:proofErr w:type="spellStart"/>
      <w:r>
        <w:t>Höhe</w:t>
      </w:r>
      <w:proofErr w:type="spellEnd"/>
      <w:r>
        <w:t xml:space="preserve">, </w:t>
      </w:r>
      <w:proofErr w:type="spellStart"/>
      <w:r>
        <w:t>Breite</w:t>
      </w:r>
      <w:proofErr w:type="spellEnd"/>
      <w:r>
        <w:t xml:space="preserve">, </w:t>
      </w:r>
      <w:proofErr w:type="spellStart"/>
      <w:r>
        <w:t>Dicke</w:t>
      </w:r>
      <w:proofErr w:type="spellEnd"/>
      <w:r>
        <w:t xml:space="preserve">, </w:t>
      </w:r>
      <w:proofErr w:type="spellStart"/>
      <w:r>
        <w:t>Buchstabenhöhe</w:t>
      </w:r>
      <w:proofErr w:type="spellEnd"/>
      <w:r>
        <w:t xml:space="preserve">, Form und </w:t>
      </w:r>
      <w:proofErr w:type="spellStart"/>
      <w:r>
        <w:t>Erhaltung</w:t>
      </w:r>
      <w:proofErr w:type="spellEnd"/>
      <w:r>
        <w:t xml:space="preserve">, </w:t>
      </w:r>
      <w:proofErr w:type="spellStart"/>
      <w:r>
        <w:t>Nummer</w:t>
      </w:r>
      <w:proofErr w:type="spellEnd"/>
      <w:r>
        <w:t xml:space="preserve"> und </w:t>
      </w:r>
      <w:proofErr w:type="spellStart"/>
      <w:r>
        <w:t>Ortsangabe</w:t>
      </w:r>
      <w:proofErr w:type="spellEnd"/>
      <w:r>
        <w:t xml:space="preserve"> des </w:t>
      </w:r>
      <w:proofErr w:type="spellStart"/>
      <w:r>
        <w:t>Abklatsches</w:t>
      </w:r>
      <w:proofErr w:type="spellEnd"/>
      <w:r>
        <w:t xml:space="preserve">, </w:t>
      </w:r>
      <w:proofErr w:type="spellStart"/>
      <w:r>
        <w:t>Wann</w:t>
      </w:r>
      <w:proofErr w:type="spellEnd"/>
      <w:r>
        <w:t xml:space="preserve"> und von </w:t>
      </w:r>
      <w:proofErr w:type="spellStart"/>
      <w:r>
        <w:t>wem</w:t>
      </w:r>
      <w:proofErr w:type="spellEnd"/>
      <w:r>
        <w:t xml:space="preserve"> </w:t>
      </w:r>
      <w:proofErr w:type="spellStart"/>
      <w:r>
        <w:t>copirt</w:t>
      </w:r>
      <w:proofErr w:type="spellEnd"/>
    </w:p>
  </w:footnote>
  <w:footnote w:id="6">
    <w:p w14:paraId="4474A646" w14:textId="427E65B8" w:rsidR="006613E3" w:rsidRPr="008765E5" w:rsidRDefault="006613E3" w:rsidP="008765E5">
      <w:pPr>
        <w:rPr>
          <w:rFonts w:eastAsia="Times New Roman" w:cs="Times New Roman"/>
        </w:rPr>
      </w:pPr>
      <w:r w:rsidRPr="00D64270">
        <w:rPr>
          <w:rStyle w:val="FootnoteReference"/>
        </w:rPr>
        <w:footnoteRef/>
      </w:r>
      <w:r w:rsidRPr="00D64270">
        <w:t xml:space="preserve"> </w:t>
      </w:r>
      <w:r w:rsidRPr="00D64270">
        <w:rPr>
          <w:rFonts w:eastAsia="Times New Roman" w:cs="Times New Roman"/>
        </w:rPr>
        <w:t>B.A. van Groningen, ‘</w:t>
      </w:r>
      <w:proofErr w:type="spellStart"/>
      <w:r w:rsidRPr="00D64270">
        <w:rPr>
          <w:rFonts w:eastAsia="Times New Roman" w:cs="Times New Roman"/>
        </w:rPr>
        <w:t>Projet</w:t>
      </w:r>
      <w:proofErr w:type="spellEnd"/>
      <w:r w:rsidRPr="00D64270">
        <w:rPr>
          <w:rFonts w:eastAsia="Times New Roman" w:cs="Times New Roman"/>
        </w:rPr>
        <w:t xml:space="preserve"> </w:t>
      </w:r>
      <w:proofErr w:type="spellStart"/>
      <w:r w:rsidRPr="00D64270">
        <w:rPr>
          <w:rFonts w:eastAsia="Times New Roman" w:cs="Times New Roman"/>
        </w:rPr>
        <w:t>d’uni</w:t>
      </w:r>
      <w:r>
        <w:rPr>
          <w:rFonts w:ascii="Lantinghei TC Extralight" w:eastAsia="Times New Roman" w:hAnsi="Lantinghei TC Extralight" w:cs="Lantinghei TC Extralight"/>
        </w:rPr>
        <w:t>fi</w:t>
      </w:r>
      <w:r w:rsidRPr="00D64270">
        <w:rPr>
          <w:rFonts w:eastAsia="Times New Roman" w:cs="Times New Roman"/>
        </w:rPr>
        <w:t>cation</w:t>
      </w:r>
      <w:proofErr w:type="spellEnd"/>
      <w:r w:rsidRPr="00D64270">
        <w:rPr>
          <w:rFonts w:eastAsia="Times New Roman" w:cs="Times New Roman"/>
        </w:rPr>
        <w:t xml:space="preserve"> des </w:t>
      </w:r>
      <w:proofErr w:type="spellStart"/>
      <w:r w:rsidRPr="00D64270">
        <w:rPr>
          <w:rFonts w:eastAsia="Times New Roman" w:cs="Times New Roman"/>
        </w:rPr>
        <w:t>systèmes</w:t>
      </w:r>
      <w:proofErr w:type="spellEnd"/>
      <w:r w:rsidRPr="00D64270">
        <w:rPr>
          <w:rFonts w:eastAsia="Times New Roman" w:cs="Times New Roman"/>
        </w:rPr>
        <w:t xml:space="preserve"> de </w:t>
      </w:r>
      <w:proofErr w:type="spellStart"/>
      <w:r w:rsidRPr="00D64270">
        <w:rPr>
          <w:rFonts w:eastAsia="Times New Roman" w:cs="Times New Roman"/>
        </w:rPr>
        <w:t>signes</w:t>
      </w:r>
      <w:proofErr w:type="spellEnd"/>
      <w:r w:rsidRPr="00D64270">
        <w:rPr>
          <w:rFonts w:eastAsia="Times New Roman" w:cs="Times New Roman"/>
        </w:rPr>
        <w:t xml:space="preserve"> critiques’, </w:t>
      </w:r>
      <w:proofErr w:type="spellStart"/>
      <w:r w:rsidRPr="00D64270">
        <w:rPr>
          <w:rFonts w:eastAsia="Times New Roman" w:cs="Times New Roman"/>
          <w:i/>
        </w:rPr>
        <w:t>Chronique</w:t>
      </w:r>
      <w:proofErr w:type="spellEnd"/>
      <w:r w:rsidRPr="00D64270">
        <w:rPr>
          <w:rFonts w:eastAsia="Times New Roman" w:cs="Times New Roman"/>
          <w:i/>
        </w:rPr>
        <w:t xml:space="preserve"> </w:t>
      </w:r>
      <w:proofErr w:type="spellStart"/>
      <w:r w:rsidRPr="00D64270">
        <w:rPr>
          <w:rFonts w:eastAsia="Times New Roman" w:cs="Times New Roman"/>
          <w:i/>
        </w:rPr>
        <w:t>d’Égypte</w:t>
      </w:r>
      <w:proofErr w:type="spellEnd"/>
      <w:r w:rsidRPr="00D64270">
        <w:rPr>
          <w:rFonts w:eastAsia="Times New Roman" w:cs="Times New Roman"/>
        </w:rPr>
        <w:t>, 7 (1932): 262–</w:t>
      </w:r>
      <w:proofErr w:type="gramStart"/>
      <w:r w:rsidRPr="00D64270">
        <w:rPr>
          <w:rFonts w:eastAsia="Times New Roman" w:cs="Times New Roman"/>
        </w:rPr>
        <w:t>9.</w:t>
      </w:r>
      <w:r w:rsidRPr="00D64270">
        <w:rPr>
          <w:rFonts w:eastAsia="Times New Roman" w:cs="Times New Roman"/>
          <w:spacing w:val="-15"/>
        </w:rPr>
        <w:t xml:space="preserve">7 </w:t>
      </w:r>
      <w:r>
        <w:rPr>
          <w:rFonts w:eastAsia="Times New Roman" w:cs="Times New Roman"/>
          <w:spacing w:val="-15"/>
        </w:rPr>
        <w:t>;</w:t>
      </w:r>
      <w:proofErr w:type="gramEnd"/>
      <w:r>
        <w:rPr>
          <w:rFonts w:eastAsia="Times New Roman" w:cs="Times New Roman"/>
          <w:spacing w:val="-15"/>
        </w:rPr>
        <w:t xml:space="preserve"> for further modifications, see </w:t>
      </w:r>
      <w:proofErr w:type="spellStart"/>
      <w:r>
        <w:rPr>
          <w:rFonts w:eastAsia="Times New Roman" w:cs="Times New Roman"/>
          <w:spacing w:val="-15"/>
        </w:rPr>
        <w:t>S.Dow</w:t>
      </w:r>
      <w:proofErr w:type="spellEnd"/>
      <w:r>
        <w:rPr>
          <w:rFonts w:eastAsia="Times New Roman" w:cs="Times New Roman"/>
          <w:spacing w:val="-15"/>
        </w:rPr>
        <w:t xml:space="preserve">, </w:t>
      </w:r>
      <w:r w:rsidRPr="00D64270">
        <w:rPr>
          <w:rFonts w:eastAsia="Times New Roman" w:cs="Times New Roman"/>
          <w:i/>
        </w:rPr>
        <w:t>Conventions in Editing: A Suggested Reformulation of the Leiden System</w:t>
      </w:r>
      <w:r w:rsidRPr="00D64270">
        <w:rPr>
          <w:rFonts w:eastAsia="Times New Roman" w:cs="Times New Roman"/>
        </w:rPr>
        <w:t xml:space="preserve"> (Durham, NC: Duke University, 1969); H. </w:t>
      </w:r>
      <w:proofErr w:type="spellStart"/>
      <w:r w:rsidRPr="00D64270">
        <w:rPr>
          <w:rFonts w:eastAsia="Times New Roman" w:cs="Times New Roman"/>
        </w:rPr>
        <w:t>Krummrey</w:t>
      </w:r>
      <w:proofErr w:type="spellEnd"/>
      <w:r w:rsidRPr="00D64270">
        <w:rPr>
          <w:rFonts w:eastAsia="Times New Roman" w:cs="Times New Roman"/>
        </w:rPr>
        <w:t xml:space="preserve"> and S. </w:t>
      </w:r>
      <w:proofErr w:type="spellStart"/>
      <w:r w:rsidRPr="00D64270">
        <w:rPr>
          <w:rFonts w:eastAsia="Times New Roman" w:cs="Times New Roman"/>
        </w:rPr>
        <w:t>Panciera</w:t>
      </w:r>
      <w:proofErr w:type="spellEnd"/>
      <w:r w:rsidRPr="00D64270">
        <w:rPr>
          <w:rFonts w:eastAsia="Times New Roman" w:cs="Times New Roman"/>
        </w:rPr>
        <w:t>, ‘</w:t>
      </w:r>
      <w:proofErr w:type="spellStart"/>
      <w:r w:rsidRPr="00D64270">
        <w:rPr>
          <w:rFonts w:eastAsia="Times New Roman" w:cs="Times New Roman"/>
        </w:rPr>
        <w:t>Criteri</w:t>
      </w:r>
      <w:proofErr w:type="spellEnd"/>
      <w:r w:rsidRPr="00D64270">
        <w:rPr>
          <w:rFonts w:eastAsia="Times New Roman" w:cs="Times New Roman"/>
        </w:rPr>
        <w:t xml:space="preserve"> di </w:t>
      </w:r>
      <w:proofErr w:type="spellStart"/>
      <w:r w:rsidRPr="00D64270">
        <w:rPr>
          <w:rFonts w:eastAsia="Times New Roman" w:cs="Times New Roman"/>
        </w:rPr>
        <w:t>edizione</w:t>
      </w:r>
      <w:proofErr w:type="spellEnd"/>
      <w:r w:rsidRPr="00D64270">
        <w:rPr>
          <w:rFonts w:eastAsia="Times New Roman" w:cs="Times New Roman"/>
        </w:rPr>
        <w:t xml:space="preserve"> e </w:t>
      </w:r>
      <w:proofErr w:type="spellStart"/>
      <w:r w:rsidRPr="00D64270">
        <w:rPr>
          <w:rFonts w:eastAsia="Times New Roman" w:cs="Times New Roman"/>
        </w:rPr>
        <w:t>segni</w:t>
      </w:r>
      <w:proofErr w:type="spellEnd"/>
      <w:r w:rsidRPr="00D64270">
        <w:rPr>
          <w:rFonts w:eastAsia="Times New Roman" w:cs="Times New Roman"/>
        </w:rPr>
        <w:t xml:space="preserve"> </w:t>
      </w:r>
      <w:proofErr w:type="spellStart"/>
      <w:r w:rsidRPr="00D64270">
        <w:rPr>
          <w:rFonts w:eastAsia="Times New Roman" w:cs="Times New Roman"/>
        </w:rPr>
        <w:t>diacritici</w:t>
      </w:r>
      <w:proofErr w:type="spellEnd"/>
      <w:r w:rsidRPr="00D64270">
        <w:rPr>
          <w:rFonts w:eastAsia="Times New Roman" w:cs="Times New Roman"/>
        </w:rPr>
        <w:t xml:space="preserve">’, </w:t>
      </w:r>
      <w:proofErr w:type="spellStart"/>
      <w:r w:rsidRPr="00D64270">
        <w:rPr>
          <w:rFonts w:eastAsia="Times New Roman" w:cs="Times New Roman"/>
          <w:i/>
          <w:spacing w:val="-15"/>
        </w:rPr>
        <w:t>Tituli</w:t>
      </w:r>
      <w:proofErr w:type="spellEnd"/>
      <w:r w:rsidRPr="00D64270">
        <w:rPr>
          <w:rFonts w:eastAsia="Times New Roman" w:cs="Times New Roman"/>
        </w:rPr>
        <w:t>, 2 (1980</w:t>
      </w:r>
      <w:r>
        <w:rPr>
          <w:rFonts w:eastAsia="Times New Roman" w:cs="Times New Roman"/>
        </w:rPr>
        <w:t>. 205-15</w:t>
      </w:r>
      <w:r w:rsidRPr="00D64270">
        <w:rPr>
          <w:rFonts w:eastAsia="Times New Roman" w:cs="Times New Roman"/>
        </w:rPr>
        <w:t xml:space="preserve">; S. </w:t>
      </w:r>
      <w:proofErr w:type="spellStart"/>
      <w:r w:rsidRPr="00D64270">
        <w:rPr>
          <w:rFonts w:eastAsia="Times New Roman" w:cs="Times New Roman"/>
        </w:rPr>
        <w:t>Panciera</w:t>
      </w:r>
      <w:proofErr w:type="spellEnd"/>
      <w:r w:rsidRPr="00D64270">
        <w:rPr>
          <w:rFonts w:eastAsia="Times New Roman" w:cs="Times New Roman"/>
        </w:rPr>
        <w:t>, ‘</w:t>
      </w:r>
      <w:proofErr w:type="spellStart"/>
      <w:r w:rsidRPr="00D64270">
        <w:rPr>
          <w:rFonts w:eastAsia="Times New Roman" w:cs="Times New Roman"/>
        </w:rPr>
        <w:t>Struttura</w:t>
      </w:r>
      <w:proofErr w:type="spellEnd"/>
      <w:r w:rsidRPr="00D64270">
        <w:rPr>
          <w:rFonts w:eastAsia="Times New Roman" w:cs="Times New Roman"/>
        </w:rPr>
        <w:t xml:space="preserve"> </w:t>
      </w:r>
      <w:proofErr w:type="spellStart"/>
      <w:r w:rsidRPr="00D64270">
        <w:rPr>
          <w:rFonts w:eastAsia="Times New Roman" w:cs="Times New Roman"/>
        </w:rPr>
        <w:t>dei</w:t>
      </w:r>
      <w:proofErr w:type="spellEnd"/>
      <w:r w:rsidRPr="00D64270">
        <w:rPr>
          <w:rFonts w:eastAsia="Times New Roman" w:cs="Times New Roman"/>
        </w:rPr>
        <w:t xml:space="preserve"> </w:t>
      </w:r>
      <w:proofErr w:type="spellStart"/>
      <w:r w:rsidRPr="00D64270">
        <w:rPr>
          <w:rFonts w:eastAsia="Times New Roman" w:cs="Times New Roman"/>
        </w:rPr>
        <w:t>supplementi</w:t>
      </w:r>
      <w:proofErr w:type="spellEnd"/>
      <w:r w:rsidRPr="00D64270">
        <w:rPr>
          <w:rFonts w:eastAsia="Times New Roman" w:cs="Times New Roman"/>
        </w:rPr>
        <w:t xml:space="preserve"> e </w:t>
      </w:r>
      <w:proofErr w:type="spellStart"/>
      <w:r w:rsidRPr="00D64270">
        <w:rPr>
          <w:rFonts w:eastAsia="Times New Roman" w:cs="Times New Roman"/>
        </w:rPr>
        <w:t>segni</w:t>
      </w:r>
      <w:proofErr w:type="spellEnd"/>
      <w:r w:rsidRPr="00D64270">
        <w:rPr>
          <w:rFonts w:eastAsia="Times New Roman" w:cs="Times New Roman"/>
        </w:rPr>
        <w:t xml:space="preserve"> </w:t>
      </w:r>
      <w:proofErr w:type="spellStart"/>
      <w:r w:rsidRPr="00D64270">
        <w:rPr>
          <w:rFonts w:eastAsia="Times New Roman" w:cs="Times New Roman"/>
        </w:rPr>
        <w:t>diacritici</w:t>
      </w:r>
      <w:proofErr w:type="spellEnd"/>
      <w:r w:rsidRPr="00D64270">
        <w:rPr>
          <w:rFonts w:eastAsia="Times New Roman" w:cs="Times New Roman"/>
        </w:rPr>
        <w:t xml:space="preserve"> </w:t>
      </w:r>
      <w:proofErr w:type="spellStart"/>
      <w:r w:rsidRPr="00D64270">
        <w:rPr>
          <w:rFonts w:eastAsia="Times New Roman" w:cs="Times New Roman"/>
        </w:rPr>
        <w:t>dieci</w:t>
      </w:r>
      <w:proofErr w:type="spellEnd"/>
      <w:r w:rsidRPr="00D64270">
        <w:rPr>
          <w:rFonts w:eastAsia="Times New Roman" w:cs="Times New Roman"/>
        </w:rPr>
        <w:t xml:space="preserve"> </w:t>
      </w:r>
      <w:proofErr w:type="spellStart"/>
      <w:r w:rsidRPr="00D64270">
        <w:rPr>
          <w:rFonts w:eastAsia="Times New Roman" w:cs="Times New Roman"/>
        </w:rPr>
        <w:t>anni</w:t>
      </w:r>
      <w:proofErr w:type="spellEnd"/>
      <w:r w:rsidRPr="00D64270">
        <w:rPr>
          <w:rFonts w:eastAsia="Times New Roman" w:cs="Times New Roman"/>
        </w:rPr>
        <w:t xml:space="preserve"> </w:t>
      </w:r>
      <w:proofErr w:type="spellStart"/>
      <w:r w:rsidRPr="00D64270">
        <w:rPr>
          <w:rFonts w:eastAsia="Times New Roman" w:cs="Times New Roman"/>
        </w:rPr>
        <w:t>dopo</w:t>
      </w:r>
      <w:proofErr w:type="spellEnd"/>
      <w:r w:rsidRPr="00D64270">
        <w:rPr>
          <w:rFonts w:eastAsia="Times New Roman" w:cs="Times New Roman"/>
        </w:rPr>
        <w:t xml:space="preserve">’, </w:t>
      </w:r>
      <w:proofErr w:type="spellStart"/>
      <w:r w:rsidRPr="00D64270">
        <w:rPr>
          <w:rFonts w:eastAsia="Times New Roman" w:cs="Times New Roman"/>
          <w:i/>
        </w:rPr>
        <w:t>Supplementa</w:t>
      </w:r>
      <w:proofErr w:type="spellEnd"/>
      <w:r w:rsidRPr="00D64270">
        <w:rPr>
          <w:rFonts w:eastAsia="Times New Roman" w:cs="Times New Roman"/>
          <w:i/>
        </w:rPr>
        <w:t xml:space="preserve"> </w:t>
      </w:r>
      <w:proofErr w:type="spellStart"/>
      <w:r w:rsidRPr="00D64270">
        <w:rPr>
          <w:rFonts w:eastAsia="Times New Roman" w:cs="Times New Roman"/>
          <w:i/>
        </w:rPr>
        <w:t>Italica</w:t>
      </w:r>
      <w:proofErr w:type="spellEnd"/>
      <w:r>
        <w:rPr>
          <w:rFonts w:eastAsia="Times New Roman" w:cs="Times New Roman"/>
        </w:rPr>
        <w:t xml:space="preserve"> </w:t>
      </w:r>
      <w:r w:rsidRPr="00D64270">
        <w:rPr>
          <w:rFonts w:eastAsia="Times New Roman" w:cs="Times New Roman"/>
        </w:rPr>
        <w:t>8 (Rome: Quasar, 1991), pp. 9–21</w:t>
      </w:r>
      <w:r>
        <w:rPr>
          <w:rFonts w:eastAsia="Times New Roman" w:cs="Times New Roman"/>
        </w:rPr>
        <w:t>.</w:t>
      </w:r>
    </w:p>
  </w:footnote>
  <w:footnote w:id="7">
    <w:p w14:paraId="6ED6079F" w14:textId="7661922C" w:rsidR="006613E3" w:rsidRPr="006613E3" w:rsidRDefault="006613E3" w:rsidP="006613E3">
      <w:pPr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C. </w:t>
      </w:r>
      <w:r>
        <w:t>Roueche, ‘</w:t>
      </w:r>
      <w:r w:rsidRPr="006613E3">
        <w:rPr>
          <w:rStyle w:val="Strong"/>
          <w:b w:val="0"/>
        </w:rPr>
        <w:t xml:space="preserve">The history of an </w:t>
      </w:r>
      <w:proofErr w:type="gramStart"/>
      <w:r w:rsidRPr="006613E3">
        <w:rPr>
          <w:rStyle w:val="Strong"/>
          <w:b w:val="0"/>
        </w:rPr>
        <w:t>idea :</w:t>
      </w:r>
      <w:proofErr w:type="gramEnd"/>
      <w:r w:rsidRPr="006613E3">
        <w:rPr>
          <w:rStyle w:val="Strong"/>
          <w:b w:val="0"/>
        </w:rPr>
        <w:t xml:space="preserve"> tracing the origins of the MAMA project.</w:t>
      </w:r>
      <w:r>
        <w:rPr>
          <w:rStyle w:val="Strong"/>
          <w:b w:val="0"/>
        </w:rPr>
        <w:t>’</w:t>
      </w:r>
      <w:r>
        <w:rPr>
          <w:rFonts w:eastAsia="Times New Roman"/>
        </w:rPr>
        <w:t xml:space="preserve"> </w:t>
      </w:r>
      <w:r w:rsidRPr="006613E3">
        <w:rPr>
          <w:rFonts w:eastAsia="Times New Roman"/>
          <w:i/>
        </w:rPr>
        <w:t xml:space="preserve">Roman </w:t>
      </w:r>
      <w:proofErr w:type="gramStart"/>
      <w:r w:rsidRPr="006613E3">
        <w:rPr>
          <w:rFonts w:eastAsia="Times New Roman"/>
          <w:i/>
        </w:rPr>
        <w:t>Phrygia :</w:t>
      </w:r>
      <w:proofErr w:type="gramEnd"/>
      <w:r w:rsidRPr="006613E3">
        <w:rPr>
          <w:rFonts w:eastAsia="Times New Roman"/>
          <w:i/>
        </w:rPr>
        <w:t xml:space="preserve"> Culture and Society</w:t>
      </w:r>
      <w:r>
        <w:rPr>
          <w:rFonts w:eastAsia="Times New Roman"/>
        </w:rPr>
        <w:t xml:space="preserve">. </w:t>
      </w:r>
      <w:proofErr w:type="gramStart"/>
      <w:r>
        <w:rPr>
          <w:rFonts w:eastAsia="Times New Roman"/>
        </w:rPr>
        <w:t>ed</w:t>
      </w:r>
      <w:proofErr w:type="gramEnd"/>
      <w:r>
        <w:rPr>
          <w:rFonts w:eastAsia="Times New Roman"/>
        </w:rPr>
        <w:t xml:space="preserve">. P. </w:t>
      </w:r>
      <w:proofErr w:type="spellStart"/>
      <w:r>
        <w:rPr>
          <w:rFonts w:eastAsia="Times New Roman"/>
        </w:rPr>
        <w:t>Thonemann</w:t>
      </w:r>
      <w:proofErr w:type="spellEnd"/>
      <w:r>
        <w:rPr>
          <w:rFonts w:eastAsia="Times New Roman"/>
        </w:rPr>
        <w:t xml:space="preserve"> (Cambridge, 2013,  249-264 </w:t>
      </w:r>
    </w:p>
  </w:footnote>
  <w:footnote w:id="8">
    <w:p w14:paraId="00B04484" w14:textId="21903F30" w:rsidR="006613E3" w:rsidRPr="008765E5" w:rsidRDefault="006613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765E5">
        <w:t>http://epidoc.sourceforge.net/</w:t>
      </w:r>
    </w:p>
  </w:footnote>
  <w:footnote w:id="9">
    <w:p w14:paraId="6793346A" w14:textId="11C895F8" w:rsidR="006613E3" w:rsidRPr="00983FBE" w:rsidRDefault="006613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83FBE">
        <w:t>http://vindolanda.csad.ox.ac.uk/</w:t>
      </w:r>
    </w:p>
  </w:footnote>
  <w:footnote w:id="10">
    <w:p w14:paraId="2674D491" w14:textId="6A71ECD7" w:rsidR="006613E3" w:rsidRPr="00983FBE" w:rsidRDefault="006613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83FBE">
        <w:t>http://usepigraphy.brown.edu</w:t>
      </w:r>
    </w:p>
  </w:footnote>
  <w:footnote w:id="11">
    <w:p w14:paraId="1C026929" w14:textId="77777777" w:rsidR="006613E3" w:rsidRPr="00983FBE" w:rsidRDefault="006613E3" w:rsidP="00983FB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83FBE">
        <w:t>http://insaph.kcl.ac.uk/ala2004/</w:t>
      </w:r>
    </w:p>
  </w:footnote>
  <w:footnote w:id="12">
    <w:p w14:paraId="55AFDE40" w14:textId="52BE5248" w:rsidR="006613E3" w:rsidRPr="00983FBE" w:rsidRDefault="006613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83FBE">
        <w:t>http://insaph.kcl.ac.uk/iaph2007/</w:t>
      </w:r>
    </w:p>
  </w:footnote>
  <w:footnote w:id="13">
    <w:p w14:paraId="5870787D" w14:textId="77777777" w:rsidR="006613E3" w:rsidRPr="00983FBE" w:rsidRDefault="006613E3" w:rsidP="00823D4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983FBE">
        <w:t>http://inslib.kcl.ac.uk/irt2009/</w:t>
      </w:r>
    </w:p>
  </w:footnote>
  <w:footnote w:id="14">
    <w:p w14:paraId="69D16577" w14:textId="12D7EB71" w:rsidR="006613E3" w:rsidRPr="00823D47" w:rsidRDefault="006613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823D47">
        <w:t>http://mama.csad.ox.ac.uk/</w:t>
      </w:r>
    </w:p>
  </w:footnote>
  <w:footnote w:id="15">
    <w:p w14:paraId="38A0AE94" w14:textId="75C71965" w:rsidR="006613E3" w:rsidRPr="00032521" w:rsidRDefault="006613E3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 Exodus 19.4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900"/>
    <w:rsid w:val="00032521"/>
    <w:rsid w:val="000406D7"/>
    <w:rsid w:val="000B5815"/>
    <w:rsid w:val="000C60C3"/>
    <w:rsid w:val="00105173"/>
    <w:rsid w:val="0012441F"/>
    <w:rsid w:val="001B179B"/>
    <w:rsid w:val="001C2764"/>
    <w:rsid w:val="00221BCC"/>
    <w:rsid w:val="003A117F"/>
    <w:rsid w:val="00443B67"/>
    <w:rsid w:val="0046011D"/>
    <w:rsid w:val="004A46ED"/>
    <w:rsid w:val="005A3CD1"/>
    <w:rsid w:val="006613E3"/>
    <w:rsid w:val="0069681D"/>
    <w:rsid w:val="006F3ECC"/>
    <w:rsid w:val="006F7900"/>
    <w:rsid w:val="007B6965"/>
    <w:rsid w:val="00823D47"/>
    <w:rsid w:val="00864B1F"/>
    <w:rsid w:val="008765E5"/>
    <w:rsid w:val="00892FF9"/>
    <w:rsid w:val="008C5C54"/>
    <w:rsid w:val="00983FBE"/>
    <w:rsid w:val="009A5B51"/>
    <w:rsid w:val="009C6F2B"/>
    <w:rsid w:val="00A86C68"/>
    <w:rsid w:val="00B26613"/>
    <w:rsid w:val="00D2088D"/>
    <w:rsid w:val="00D36D07"/>
    <w:rsid w:val="00D64270"/>
    <w:rsid w:val="00E91E83"/>
    <w:rsid w:val="00EE2B52"/>
    <w:rsid w:val="00F96A7C"/>
    <w:rsid w:val="00FA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B284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A117F"/>
  </w:style>
  <w:style w:type="character" w:customStyle="1" w:styleId="FootnoteTextChar">
    <w:name w:val="Footnote Text Char"/>
    <w:basedOn w:val="DefaultParagraphFont"/>
    <w:link w:val="FootnoteText"/>
    <w:uiPriority w:val="99"/>
    <w:rsid w:val="003A117F"/>
  </w:style>
  <w:style w:type="character" w:styleId="FootnoteReference">
    <w:name w:val="footnote reference"/>
    <w:basedOn w:val="DefaultParagraphFont"/>
    <w:uiPriority w:val="99"/>
    <w:unhideWhenUsed/>
    <w:rsid w:val="003A117F"/>
    <w:rPr>
      <w:vertAlign w:val="superscript"/>
    </w:rPr>
  </w:style>
  <w:style w:type="character" w:customStyle="1" w:styleId="a">
    <w:name w:val="a"/>
    <w:basedOn w:val="DefaultParagraphFont"/>
    <w:rsid w:val="00D64270"/>
  </w:style>
  <w:style w:type="character" w:customStyle="1" w:styleId="l6">
    <w:name w:val="l6"/>
    <w:basedOn w:val="DefaultParagraphFont"/>
    <w:rsid w:val="00D64270"/>
  </w:style>
  <w:style w:type="character" w:customStyle="1" w:styleId="l7">
    <w:name w:val="l7"/>
    <w:basedOn w:val="DefaultParagraphFont"/>
    <w:rsid w:val="00D64270"/>
  </w:style>
  <w:style w:type="character" w:customStyle="1" w:styleId="st">
    <w:name w:val="st"/>
    <w:basedOn w:val="DefaultParagraphFont"/>
    <w:rsid w:val="000B5815"/>
  </w:style>
  <w:style w:type="character" w:styleId="Emphasis">
    <w:name w:val="Emphasis"/>
    <w:basedOn w:val="DefaultParagraphFont"/>
    <w:uiPriority w:val="20"/>
    <w:qFormat/>
    <w:rsid w:val="000B5815"/>
    <w:rPr>
      <w:i/>
      <w:iCs/>
    </w:rPr>
  </w:style>
  <w:style w:type="paragraph" w:styleId="NormalWeb">
    <w:name w:val="Normal (Web)"/>
    <w:basedOn w:val="Normal"/>
    <w:uiPriority w:val="99"/>
    <w:unhideWhenUsed/>
    <w:rsid w:val="006613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613E3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3A117F"/>
  </w:style>
  <w:style w:type="character" w:customStyle="1" w:styleId="FootnoteTextChar">
    <w:name w:val="Footnote Text Char"/>
    <w:basedOn w:val="DefaultParagraphFont"/>
    <w:link w:val="FootnoteText"/>
    <w:uiPriority w:val="99"/>
    <w:rsid w:val="003A117F"/>
  </w:style>
  <w:style w:type="character" w:styleId="FootnoteReference">
    <w:name w:val="footnote reference"/>
    <w:basedOn w:val="DefaultParagraphFont"/>
    <w:uiPriority w:val="99"/>
    <w:unhideWhenUsed/>
    <w:rsid w:val="003A117F"/>
    <w:rPr>
      <w:vertAlign w:val="superscript"/>
    </w:rPr>
  </w:style>
  <w:style w:type="character" w:customStyle="1" w:styleId="a">
    <w:name w:val="a"/>
    <w:basedOn w:val="DefaultParagraphFont"/>
    <w:rsid w:val="00D64270"/>
  </w:style>
  <w:style w:type="character" w:customStyle="1" w:styleId="l6">
    <w:name w:val="l6"/>
    <w:basedOn w:val="DefaultParagraphFont"/>
    <w:rsid w:val="00D64270"/>
  </w:style>
  <w:style w:type="character" w:customStyle="1" w:styleId="l7">
    <w:name w:val="l7"/>
    <w:basedOn w:val="DefaultParagraphFont"/>
    <w:rsid w:val="00D64270"/>
  </w:style>
  <w:style w:type="character" w:customStyle="1" w:styleId="st">
    <w:name w:val="st"/>
    <w:basedOn w:val="DefaultParagraphFont"/>
    <w:rsid w:val="000B5815"/>
  </w:style>
  <w:style w:type="character" w:styleId="Emphasis">
    <w:name w:val="Emphasis"/>
    <w:basedOn w:val="DefaultParagraphFont"/>
    <w:uiPriority w:val="20"/>
    <w:qFormat/>
    <w:rsid w:val="000B5815"/>
    <w:rPr>
      <w:i/>
      <w:iCs/>
    </w:rPr>
  </w:style>
  <w:style w:type="paragraph" w:styleId="NormalWeb">
    <w:name w:val="Normal (Web)"/>
    <w:basedOn w:val="Normal"/>
    <w:uiPriority w:val="99"/>
    <w:unhideWhenUsed/>
    <w:rsid w:val="006613E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6613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5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5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4</Pages>
  <Words>1555</Words>
  <Characters>8870</Characters>
  <Application>Microsoft Macintosh Word</Application>
  <DocSecurity>0</DocSecurity>
  <Lines>73</Lines>
  <Paragraphs>20</Paragraphs>
  <ScaleCrop>false</ScaleCrop>
  <Company/>
  <LinksUpToDate>false</LinksUpToDate>
  <CharactersWithSpaces>10405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Roueche</dc:creator>
  <cp:keywords/>
  <dc:description/>
  <cp:lastModifiedBy>Charlotte Roueche</cp:lastModifiedBy>
  <cp:revision>12</cp:revision>
  <cp:lastPrinted>2016-02-28T16:01:00Z</cp:lastPrinted>
  <dcterms:created xsi:type="dcterms:W3CDTF">2016-01-19T12:21:00Z</dcterms:created>
  <dcterms:modified xsi:type="dcterms:W3CDTF">2016-02-28T16:17:00Z</dcterms:modified>
</cp:coreProperties>
</file>