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828800" cy="1828800"/>
                    </a:xfrm>
                    <a:prstGeom prst="rect"/>
                  </pic:spPr>
                </pic:pic>
              </a:graphicData>
            </a:graphic>
          </wp:inline>
        </w:drawing>
      </w:r>
    </w:p>
    <w:p>
      <w:pPr>
        <w:jc w:val="center"/>
      </w:pPr>
      <w:r>
        <w:rPr>
          <w:rFonts w:ascii="Ebrima" w:hAnsi="Ebrima"/>
          <w:b/>
          <w:color w:val="FFBC14"/>
          <w:sz w:val="40"/>
        </w:rPr>
        <w:t>የኢትዮጵያአርቲፊሻልኢንተለጀንስ ኢንስቲትዩት የዳታ ሴንተርዲቪዥንየ2018 በጀት ዓመት ዕቅድ</w:t>
      </w:r>
    </w:p>
    <w:p>
      <w:r>
        <w:br w:type="page"/>
      </w:r>
    </w:p>
    <w:p>
      <w:r>
        <w:rPr>
          <w:b/>
        </w:rPr>
        <w:t>Table of Contents</w:t>
      </w:r>
    </w:p>
    <w:p>
      <w:r>
        <w:fldSimple w:instr="TOC \o &quot;1-3&quot; \h \z \u"/>
      </w:r>
    </w:p>
    <w:p>
      <w:r>
        <w:br w:type="page"/>
      </w:r>
    </w:p>
    <w:p>
      <w:pPr>
        <w:pStyle w:val="Heading1"/>
      </w:pPr>
      <w:r>
        <w:rPr>
          <w:rFonts w:ascii="Ebrima" w:hAnsi="Ebrima"/>
          <w:b/>
          <w:color w:val="2F6EBC"/>
          <w:sz w:val="34"/>
        </w:rPr>
        <w:t>1. መግቢያ</w:t>
      </w:r>
    </w:p>
    <w:p>
      <w:pPr>
        <w:jc w:val="lowKashida"/>
      </w:pPr>
      <w:r>
        <w:rPr>
          <w:rFonts w:ascii="Ebrima" w:hAnsi="Ebrima"/>
          <w:sz w:val="24"/>
        </w:rPr>
        <w:t>መግቢያ</w:t>
        <w:br/>
        <w:br/>
        <w:t>በአለም እጅግ ተጽዕኖ ፈጣሪ በመሆን ትኩረት የተሰጠውና ወደፊት በሀገራት መካከል የኃይል፣ የአቅም፣ የኢኮኖሚ የበላይነት ማሳያ ተብለው ከተለዩ የቴክኖሎጂ ምርምሮች ውስጥ ዋነኛ እና እንደ የአራተኛው አብዮት ትሩፋት የሚታየው የአርቲፊሻል ኢንተለጀንስ ቴክኖሎጂ መሆኑ ይታወቃል፡፡ ይህ ዘርፍ በተለይ ለታዳጊ ሀገራት ይዞት የመጣው መልካም ተስፋ የጤና አጠባበቅን የሚያሻሽሉ፣የግብርና ምርትና ምርታማነትን የሚጨምሩ፣ የአገልግሎት አሰጣጥን ቀልጣፋ የሚያደርጉ፣በማዕድንና ማኑፋክቸሪንግ ዘርፍ ጥራታቸውን የጠበቁ ምርቶች በአጠረ ጊዜና በአነስተኛ ወጪ ሊያበረክቱ የሚችሉ፣ የሜትሮሎጂ መረጃዎችን በመተንተን ለአደጋ ቅድመ ትንበያና ጥንቃቄ የሚረዱ፣ የትራንስፖርት አገልግሎትንም ቀላልና ቀልጣፋ የሚያደርጉ ቴክኖሎጂዎችን ይዞ የመጣ በመሆኑ በርካታ ሀገራት ለዘርፉ ከፍተኛ የሚባል መዋዕለ ንዋይ እያፈሰሱ ይገኛሉ፡፡</w:t>
        <w:br/>
        <w:br/>
        <w:t>በአሁኑ ወቅት ሀገራችንን እየተፈታተኑ ካሉ ተግዳሮቶች መካከል ድህነት፣ የህዝብ ቁጥር በፍጥነት መጨመር፣ ሥራ አጥነት፣ የከባቢና የአየር ንብረት ለውጥ ጥቂቶቹ ናቸው። ከእነዚህ ችግሮች ባሻገር የኢኮኖሚው መሠረት የሆነው ግብርና ዘመናዊ አለመሆን እና ምርታማነቱን በሚፈታተኑ ማነቆዎች መያዙ ከተጋረጡብን ታላላቅ ፈተናዎች ውስጥ ዋነኛው ነው። በመሆኑም ሀገራችንና ህዝቦቿን ከድህነት ለማውጣት፣ በምግብ ራስን ለመቻል እና ዘላቂ ኢኮኖሚያዊ ዕድገት ለማምጣት ግብርና መር የነበረውን ኢኮኖሚ ወደ ግብርና መር ኢንዱስትሪ ለማሳደግ ያላሰለሰ ጥረት እየተደረገ ሲሆን፤ ይህም በተከታታይ እየተተገበሩ ባሉት የዕድገትና ትራንስፎርሜሽን ዕቅዶች በመፈፀም ላይ ይገኛል። በቀጣይም የሀገሪቱ ኢኮኖሚ ላይ ጠንካራ መሠረት ለመጣል እና ዘላቂነት ያለውን ልማት ተግባራዊ ለማድረግ የዘመናዊ ቴክኖሎጂ ምርምርና ልማትን ማስፋፋት ከፍተኛ ትኩረት ተሰጥቶት እየተሰራበት ይገኛል።</w:t>
        <w:br/>
        <w:br/>
        <w:t>የኢትዮጵያ ሳይንስ፣ ቴክኖሎጂና ኢኖቬሽን ፖሊሲ ሀገሪቱ ላለፉት አስርት ዓመታት ያስመዘገበችው ኢኮኖሚያዊ ዕድገት አግባብነት ያላቸውን እና ውጤታማ ቴክኖሎጂዎችን በመጠቀም ረገድ ውስንነት እንደነበረበት ያሳየ ሲሆን ይህም ቀጣይነት ያለውን ዕድገት ለማስመዝገብ እንቅፋት እንደሚሆን ያስረዳል። ይህንንም ውስንነት ለመፍታት መንግስት ቴክኖሎጂን ለማላመድ ትኩረት ሰጥቶ እየተንቀሳቀሰ ይገኛል። ይህም ቴክኖሎጂን በማላመድ፣ በመተግበርና በማሸጋገር የሚከናወን ሲሆን ከእነዚህም የቴከኖሎጂ ዘርፎች መካከል አንዱ የሆነውና ብዙ ዘርፎችን በሚያካልለው የአርቲፊሻል ኢንተለጀንስ ቴክኖሎጂ ላይ ጠንካራ ሀገራዊ አቅም መገንባት ትኩረት ከሚሰጣቸው ተግባራት አንዱ ነው።</w:t>
        <w:br/>
        <w:br/>
        <w:t>ከዚህ በተጨማሪም ፖሊሲው የአርቲፊሻል ኢንተለጀንስ ቴክኖሎጂን ያላካተተ አካሄድ ቀጣይነት ያለው ዕድገትን ለማምጣት እንቅፋት እንደሚሆን ያስረዳል። ይህንንም ለመፍታት መንግስት በውጭ ቀጥተኛ ኢንቨስትመንት በፍለጋ እና ማስረፅ አግባብነት ያላቸውን እና ውጤታማ ቴክኖሎጂዎችን ወደ ሀገረሰብ ዐውድ በመለወጥ መስራትን ትኩረት ሰጥቶበታል።</w:t>
        <w:br/>
        <w:br/>
        <w:t>በዚህ ረገድ ለዲቪዥኑ የ2017 በጀት ዓመት ዓመታዊ ዕቅድ እንደ መነሻ የተወሰዱት የሀገሪቱ የአስር ዓመት የልማት መሪ ዕቅድ፣ የዲጂታል ኢኮኖሚ ስትራቴጂ፣ማዕከሉ የተቋቋመበት ደንብ እና የማዕከሉ የአስር ዓመት መሪ የልማት ዕቅድ ናቸው።</w:t>
        <w:br/>
        <w:br/>
        <w:t>የአርቲፊሻል ኢንተለጀንስ ዘርፍ ሀገራችን ኢትዮጵያ መካከለኛ ገቢ ካላቸው ሀገራት ተርታ ለመሰለፍ የምታደርገውን ኢኮኖሚያዊና ማህበረሰባዊ ትራንስፎርሜሽን ዕውን ለማድረግ በሚደረገው ጥረት የዲጂታል ኢኮኖሚ ለመገንባትና በሌሎች የኢኮኖሚ ዘርፎች ደግሞ ምርትንና ምርታማነትን ለማሳደግ ራዕይና ተልዕኮ አንግቦ በመስራት ላይ ይገኛል። ከድህነት ወደ ብልጽግና የሚደረገው ጉዞ የቴክኖሎጂ አቅም ግንባታ ሂደት እንደመሆኑ መጠን ለዘርፉ ትኩረት በመስጠት የአርቲፊሻል ኢንተለጀንስ ውጤቶችን በማጎልበትና ለሀገሪቱ ኢኮኖሚ ዕድገት እንዲውል ለማድረግ ከተለያዩ ዘርፎች የሚሰበሰቡ የዳታ</w:t>
        <w:br/>
        <w:br/>
        <w:t xml:space="preserve"> </w:t>
        <w:br/>
        <w:br/>
        <w:t>ክምችቶችን ወደ ችግር ፈቺ የምርምር ውጤት ለመቀየር ደረጃውን የጠበቀ የዳታ ማዕከል እና የአርቲፊሻል ኢንተሊጀንስ ላብራቶሪ አደረጃጀት ወሳኝ ነው።</w:t>
        <w:br/>
        <w:br/>
        <w:t>ሀገራችን እንደሌሎች ያደጉ ሀገራት ደረጃቸውን የጠበቁ የዳታ ሴንተር መሰረተ ልማት ባይገኙም ጥቂት የሚባሉ ጅምር የዳታ ማዕከላት ይገኛሉ፡፡ ከነዚህም ውስጥ በቀድሞ ብሄራዊ የዳታ ማዕከል የአሁኑ የኢኖቬሽንና ቴክኖሎጂ ሚኒስቴር የሚገኘውና ከክልል እስከ እያንዳንዱ የሀገሪቷ ወረዳዎች የተዘረጋውና ለቪዲዮ ኮንፍራንስ፣ ሪፖርት መላላኪያና ለወሳኝ ኩነት የተዘረጋው የወረዳ ኔት ሲሆን ሌሎችም በብሄራዊ ንግድ ባንክ፣ በአዲስ አበባ አስተዳደር የሳይንስና ቴክኖሎጂ ኤጀንሲ እስከ ክፍለ ከተማ ለወሳኝ ኩነትን ለቤቶች ምዝገባ መረጃ የሚያገለግለው የዳታ ማእከል የሚገኝ ሲሆን የአዲስ አበባ ዩኒቨርሲቲ፣ የጅማ ዩኒቨርስቲ እንዲሁም ሌሎች የሚጠቀሱ የዳታ ማዕከላት ናቸው፡፡</w:t>
        <w:br/>
        <w:br/>
        <w:t>በዚህም አግባብ ዲቪዥኑ በዋናነት የቱክረት አቅጣጫው ደረጃውን የጠበቀ የዳታ ማዕከል እና የአርቲፊሻል ኢንተሊጀንስ ላብራቶሪ መሠረተ-ልማት ግንባታ ነው።</w:t>
      </w:r>
    </w:p>
    <w:p>
      <w:pPr>
        <w:pStyle w:val="Heading2"/>
      </w:pPr>
      <w:r>
        <w:rPr>
          <w:rFonts w:ascii="Ebrima" w:hAnsi="Ebrima"/>
          <w:b/>
          <w:color w:val="3180E0"/>
          <w:sz w:val="30"/>
        </w:rPr>
        <w:t>1.2 ስትራቴጂክ ግቦች</w:t>
      </w:r>
    </w:p>
    <w:p>
      <w:pPr>
        <w:pStyle w:val="ListNumber"/>
      </w:pPr>
      <w:r>
        <w:t>ተቋማዊ የማስፈጸም አቅም፣ የሀብት አጠቃቀም እና የአገልግሎት አሰጣጥ አሰራር ማጎልበት</w:t>
      </w:r>
    </w:p>
    <w:p>
      <w:pPr>
        <w:pStyle w:val="ListNumber"/>
      </w:pPr>
      <w:r>
        <w:t>ለአርቲፊሻል ኢንተለጀንስ ምርምር እና ልማት ዳታን ማሰበሰብ፣ ማዘጋጀት እና  አጠቃቅምን  ማጎልበት</w:t>
      </w:r>
    </w:p>
    <w:p>
      <w:pPr>
        <w:pStyle w:val="ListNumber"/>
      </w:pPr>
      <w:r>
        <w:t xml:space="preserve">ችግር ፈቺ የአርቲፊሻል ኢንተለጀንስ ምርምሮችን ማከናወን፣ ማልማት እና ተደራሽ ማድረግ </w:t>
      </w:r>
    </w:p>
    <w:p>
      <w:pPr>
        <w:pStyle w:val="ListNumber"/>
      </w:pPr>
      <w:r>
        <w:t>ሀገራዊ የአርቲፊሻል ኢንተሊጀንስ መሠረተ-ልማት በመገንባት ስራ ላይ ማዋል እና የዘርፉን ስነ-ምህዳር ማጎልበት</w:t>
      </w:r>
    </w:p>
    <w:p>
      <w:pPr>
        <w:pStyle w:val="Heading1"/>
      </w:pPr>
      <w:r>
        <w:rPr>
          <w:rFonts w:ascii="Ebrima" w:hAnsi="Ebrima"/>
          <w:b/>
          <w:color w:val="2F6EBC"/>
          <w:sz w:val="34"/>
        </w:rPr>
        <w:t>2. የልማት ዕቅዱ እንድምታዎች እና የሚጠበቁ ውጤቶች</w:t>
      </w:r>
    </w:p>
    <w:p>
      <w:pPr>
        <w:jc w:val="lowKashida"/>
      </w:pPr>
      <w:r>
        <w:rPr>
          <w:rFonts w:ascii="Ebrima" w:hAnsi="Ebrima"/>
          <w:sz w:val="24"/>
        </w:rPr>
      </w:r>
    </w:p>
    <w:p>
      <w:r>
        <w:rPr>
          <w:rFonts w:ascii="Ebrima" w:hAnsi="Ebrima"/>
          <w:b/>
          <w:sz w:val="30"/>
        </w:rPr>
        <w:t>ስትራቴጂካዊ ግቦች፣ ዋና ዋና ተግባራት፣ ቁልፍ አመላካቾች እና የሚጠበቁ ቁልፍ ውጤቶች</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10d7c"/>
          </w:tcPr>
          <w:p>
            <w:r>
              <w:rPr>
                <w:b/>
                <w:color w:val="FFBC14"/>
              </w:rPr>
              <w:t>ስትራቴጂክ ግቦች</w:t>
            </w:r>
          </w:p>
        </w:tc>
        <w:tc>
          <w:tcPr>
            <w:tcW w:type="dxa" w:w="2160"/>
            <w:shd w:fill="110d7c"/>
          </w:tcPr>
          <w:p>
            <w:r>
              <w:rPr>
                <w:b/>
                <w:color w:val="FFBC14"/>
              </w:rPr>
              <w:t>ዋና ዋና ተግባራት</w:t>
            </w:r>
          </w:p>
        </w:tc>
        <w:tc>
          <w:tcPr>
            <w:tcW w:type="dxa" w:w="2160"/>
            <w:shd w:fill="110d7c"/>
          </w:tcPr>
          <w:p>
            <w:r>
              <w:rPr>
                <w:b/>
                <w:color w:val="FFBC14"/>
              </w:rPr>
              <w:t>ቁልፍ የአፈፃፀም አመልካቾች (KPIs)</w:t>
            </w:r>
          </w:p>
        </w:tc>
        <w:tc>
          <w:tcPr>
            <w:tcW w:type="dxa" w:w="2160"/>
            <w:shd w:fill="110d7c"/>
          </w:tcPr>
          <w:p>
            <w:r>
              <w:rPr>
                <w:b/>
                <w:color w:val="FFBC14"/>
              </w:rPr>
              <w:t>የሚጠበቁ ቁልፍ ውጤቶች</w:t>
            </w:r>
          </w:p>
        </w:tc>
      </w:tr>
      <w:tr>
        <w:tc>
          <w:tcPr>
            <w:tcW w:type="dxa" w:w="2160"/>
            <w:shd w:fill="D6E3F1"/>
          </w:tcPr>
          <w:p>
            <w:r>
              <w:t>ሀገራዊ የአርቲፊሻል ኢንተሊጀንስ መሠረተ-ልማት በመገንባት ስራ ላይ ማዋል እና የዘርፉን ስነ-ምህዳር ማጎልበት</w:t>
            </w:r>
          </w:p>
        </w:tc>
        <w:tc>
          <w:tcPr>
            <w:tcW w:type="dxa" w:w="2160"/>
          </w:tcPr>
          <w:p>
            <w:r>
              <w:t>ደረጃዉን የጠበቀ የአ.ኢ መሰረተ-ልማት መገንባት እና ማደራጀት</w:t>
            </w:r>
          </w:p>
        </w:tc>
        <w:tc>
          <w:tcPr>
            <w:tcW w:type="dxa" w:w="2160"/>
          </w:tcPr>
          <w:p>
            <w:pPr>
              <w:pStyle w:val="ListBullet"/>
            </w:pPr>
            <w:r>
              <w:t>አለም አቀፍ እዉቅና ያገኘ የዳታ ማዕከል</w:t>
            </w:r>
          </w:p>
          <w:p>
            <w:pPr>
              <w:pStyle w:val="ListBullet"/>
            </w:pPr>
            <w:r>
              <w:t>በክላዉድ ሰርቪስ ዳታ ማዕከሉን እየተጠቀሙ ያሉ ተቋማት</w:t>
            </w:r>
          </w:p>
          <w:p>
            <w:pPr>
              <w:pStyle w:val="ListBullet"/>
            </w:pPr>
            <w:r>
              <w:t>የተገነባ የአርቲፊሻል ኢንተለጀንስ መሰረተ ልማት</w:t>
            </w:r>
          </w:p>
          <w:p>
            <w:pPr>
              <w:pStyle w:val="ListBullet"/>
            </w:pPr>
            <w:r>
              <w:t>ፋሲሊቲ የተሞላለት የአርቲፊሻል ኢንተለጀንስ መሰረተ ልማት</w:t>
            </w:r>
          </w:p>
        </w:tc>
        <w:tc>
          <w:tcPr>
            <w:tcW w:type="dxa" w:w="2160"/>
            <w:shd w:fill="F2F2F2"/>
          </w:tcPr>
          <w:p>
            <w:r>
              <w:t>የተደራጀና ጥቅም ላይ የዋለ የአኢ መሰረተ-ልማት</w:t>
            </w:r>
          </w:p>
        </w:tc>
      </w:tr>
    </w:tbl>
    <w:p>
      <w:r>
        <w:br w:type="page"/>
      </w:r>
    </w:p>
    <w:p>
      <w:pPr>
        <w:pStyle w:val="Heading1"/>
      </w:pPr>
      <w:r>
        <w:rPr>
          <w:rFonts w:ascii="Ebrima" w:hAnsi="Ebrima"/>
          <w:b/>
          <w:color w:val="2F6EBC"/>
          <w:sz w:val="34"/>
        </w:rPr>
        <w:t>3. የበጀት ዓመት ኢላማዎችና የድርጊት መርሃ ግብር</w:t>
      </w:r>
    </w:p>
    <w:p>
      <w:pPr>
        <w:jc w:val="lowKashida"/>
      </w:pPr>
      <w:r>
        <w:rPr>
          <w:rFonts w:ascii="Ebrima" w:hAnsi="Ebrima"/>
          <w:sz w:val="24"/>
        </w:rPr>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10d7c"/>
          </w:tcPr>
          <w:p>
            <w:r>
              <w:rPr>
                <w:rFonts w:ascii="Ebrima" w:hAnsi="Ebrima"/>
                <w:b/>
                <w:color w:val="FFBC14"/>
              </w:rPr>
              <w:t>ስትራቴጂክ ግቦች፣ ዋና ዋና ተግባራት እና ዝርዝር ቁልፍ የአፈፃፀም አመልካቾች</w:t>
            </w:r>
          </w:p>
        </w:tc>
        <w:tc>
          <w:tcPr>
            <w:tcW w:type="dxa" w:w="1080"/>
            <w:shd w:fill="110d7c"/>
          </w:tcPr>
          <w:p>
            <w:r>
              <w:rPr>
                <w:rFonts w:ascii="Ebrima" w:hAnsi="Ebrima"/>
                <w:b/>
                <w:color w:val="FFBC14"/>
              </w:rPr>
              <w:t>መለኪያ</w:t>
            </w:r>
          </w:p>
        </w:tc>
        <w:tc>
          <w:tcPr>
            <w:tcW w:type="dxa" w:w="1080"/>
            <w:shd w:fill="110d7c"/>
          </w:tcPr>
          <w:p>
            <w:r>
              <w:rPr>
                <w:rFonts w:ascii="Ebrima" w:hAnsi="Ebrima"/>
                <w:b/>
                <w:color w:val="FFBC14"/>
              </w:rPr>
              <w:t xml:space="preserve">2017 </w:t>
              <w:br/>
              <w:t xml:space="preserve"> መነሻ</w:t>
            </w:r>
          </w:p>
        </w:tc>
        <w:tc>
          <w:tcPr>
            <w:tcW w:type="dxa" w:w="1080"/>
            <w:shd w:fill="110d7c"/>
          </w:tcPr>
          <w:p>
            <w:r>
              <w:rPr>
                <w:rFonts w:ascii="Ebrima" w:hAnsi="Ebrima"/>
                <w:b/>
                <w:color w:val="FFBC14"/>
              </w:rPr>
              <w:t xml:space="preserve">2018 </w:t>
              <w:br/>
              <w:t xml:space="preserve"> ግብ</w:t>
            </w:r>
          </w:p>
        </w:tc>
        <w:tc>
          <w:tcPr>
            <w:tcW w:type="dxa" w:w="1080"/>
            <w:shd w:fill="110d7c"/>
          </w:tcPr>
          <w:p>
            <w:r>
              <w:rPr>
                <w:rFonts w:ascii="Ebrima" w:hAnsi="Ebrima"/>
                <w:b/>
                <w:color w:val="FFBC14"/>
              </w:rPr>
              <w:t>1ኛ</w:t>
            </w:r>
          </w:p>
        </w:tc>
        <w:tc>
          <w:tcPr>
            <w:tcW w:type="dxa" w:w="1080"/>
            <w:shd w:fill="110d7c"/>
          </w:tcPr>
          <w:p>
            <w:r>
              <w:rPr>
                <w:rFonts w:ascii="Ebrima" w:hAnsi="Ebrima"/>
                <w:b/>
                <w:color w:val="FFBC14"/>
              </w:rPr>
              <w:t>2ኛ</w:t>
            </w:r>
          </w:p>
        </w:tc>
        <w:tc>
          <w:tcPr>
            <w:tcW w:type="dxa" w:w="1080"/>
            <w:shd w:fill="110d7c"/>
          </w:tcPr>
          <w:p>
            <w:r>
              <w:rPr>
                <w:rFonts w:ascii="Ebrima" w:hAnsi="Ebrima"/>
                <w:b/>
                <w:color w:val="FFBC14"/>
              </w:rPr>
              <w:t>3ኛ</w:t>
            </w:r>
          </w:p>
        </w:tc>
        <w:tc>
          <w:tcPr>
            <w:tcW w:type="dxa" w:w="1080"/>
            <w:shd w:fill="110d7c"/>
          </w:tcPr>
          <w:p>
            <w:r>
              <w:rPr>
                <w:rFonts w:ascii="Ebrima" w:hAnsi="Ebrima"/>
                <w:b/>
                <w:color w:val="FFBC14"/>
              </w:rPr>
              <w:t>4ኛ</w:t>
            </w:r>
          </w:p>
        </w:tc>
      </w:tr>
      <w:tr>
        <w:tc>
          <w:tcPr>
            <w:tcW w:type="dxa" w:w="8640"/>
            <w:gridSpan w:val="8"/>
            <w:shd w:fill="ffbc14"/>
          </w:tcPr>
          <w:p>
            <w:r>
              <w:rPr>
                <w:rFonts w:ascii="Ebrima" w:hAnsi="Ebrima"/>
                <w:b/>
                <w:color w:val="110D7C"/>
              </w:rPr>
              <w:t>ስትራቴጂክ ግብ 1፡- ሀገራዊ የአርቲፊሻል ኢንተሊጀንስ መሠረተ-ልማት በመገንባት ስራ ላይ ማዋል እና የዘርፉን ስነ-ምህዳር ማጎልበት</w:t>
            </w:r>
          </w:p>
        </w:tc>
      </w:tr>
      <w:tr>
        <w:tc>
          <w:tcPr>
            <w:tcW w:type="dxa" w:w="8640"/>
            <w:gridSpan w:val="8"/>
            <w:shd w:fill="D9D9D9"/>
          </w:tcPr>
          <w:p>
            <w:r>
              <w:rPr>
                <w:rFonts w:ascii="Ebrima" w:hAnsi="Ebrima"/>
                <w:b/>
              </w:rPr>
              <w:t>ደረጃዉን የጠበቀ የአ.ኢ መሰረተ-ልማት መገንባት እና ማደራጀት</w:t>
            </w:r>
          </w:p>
        </w:tc>
      </w:tr>
      <w:tr>
        <w:tc>
          <w:tcPr>
            <w:tcW w:type="dxa" w:w="1080"/>
          </w:tcPr>
          <w:p>
            <w:r>
              <w:t>አለም አቀፍ እዉቅና ያገኘ የዳታ ማዕከል</w:t>
            </w:r>
          </w:p>
        </w:tc>
        <w:tc>
          <w:tcPr>
            <w:tcW w:type="dxa" w:w="1080"/>
          </w:tcPr>
          <w:p>
            <w:r>
              <w:t>በቁጥር</w:t>
            </w:r>
          </w:p>
        </w:tc>
        <w:tc>
          <w:tcPr>
            <w:tcW w:type="dxa" w:w="1080"/>
          </w:tcPr>
          <w:p>
            <w:r>
              <w:t>1.0</w:t>
            </w:r>
          </w:p>
        </w:tc>
        <w:tc>
          <w:tcPr>
            <w:tcW w:type="dxa" w:w="1080"/>
          </w:tcPr>
          <w:p>
            <w:r>
              <w:t>1.0</w:t>
            </w:r>
          </w:p>
        </w:tc>
        <w:tc>
          <w:tcPr>
            <w:tcW w:type="dxa" w:w="1080"/>
          </w:tcPr>
          <w:p>
            <w:r>
              <w:t>0.0</w:t>
            </w:r>
          </w:p>
        </w:tc>
        <w:tc>
          <w:tcPr>
            <w:tcW w:type="dxa" w:w="1080"/>
          </w:tcPr>
          <w:p>
            <w:r>
              <w:t>0.0</w:t>
            </w:r>
          </w:p>
        </w:tc>
        <w:tc>
          <w:tcPr>
            <w:tcW w:type="dxa" w:w="1080"/>
          </w:tcPr>
          <w:p>
            <w:r>
              <w:t>0.0</w:t>
            </w:r>
          </w:p>
        </w:tc>
        <w:tc>
          <w:tcPr>
            <w:tcW w:type="dxa" w:w="1080"/>
          </w:tcPr>
          <w:p>
            <w:r>
              <w:t>1.0</w:t>
            </w:r>
          </w:p>
        </w:tc>
      </w:tr>
      <w:tr>
        <w:tc>
          <w:tcPr>
            <w:tcW w:type="dxa" w:w="1080"/>
          </w:tcPr>
          <w:p>
            <w:r>
              <w:t>በክላዉድ ሰርቪስ ዳታ ማዕከሉን እየተጠቀሙ ያሉ ተቋማት</w:t>
            </w:r>
          </w:p>
        </w:tc>
        <w:tc>
          <w:tcPr>
            <w:tcW w:type="dxa" w:w="1080"/>
          </w:tcPr>
          <w:p>
            <w:r>
              <w:t>በቁጥር</w:t>
            </w:r>
          </w:p>
        </w:tc>
        <w:tc>
          <w:tcPr>
            <w:tcW w:type="dxa" w:w="1080"/>
          </w:tcPr>
          <w:p>
            <w:r>
              <w:t>30.0</w:t>
            </w:r>
          </w:p>
        </w:tc>
        <w:tc>
          <w:tcPr>
            <w:tcW w:type="dxa" w:w="1080"/>
          </w:tcPr>
          <w:p>
            <w:r>
              <w:t>40.0</w:t>
            </w:r>
          </w:p>
        </w:tc>
        <w:tc>
          <w:tcPr>
            <w:tcW w:type="dxa" w:w="1080"/>
          </w:tcPr>
          <w:p>
            <w:r>
              <w:t>32.0</w:t>
            </w:r>
          </w:p>
        </w:tc>
        <w:tc>
          <w:tcPr>
            <w:tcW w:type="dxa" w:w="1080"/>
          </w:tcPr>
          <w:p>
            <w:r>
              <w:t>34.0</w:t>
            </w:r>
          </w:p>
        </w:tc>
        <w:tc>
          <w:tcPr>
            <w:tcW w:type="dxa" w:w="1080"/>
          </w:tcPr>
          <w:p>
            <w:r>
              <w:t>37.0</w:t>
            </w:r>
          </w:p>
        </w:tc>
        <w:tc>
          <w:tcPr>
            <w:tcW w:type="dxa" w:w="1080"/>
          </w:tcPr>
          <w:p>
            <w:r>
              <w:t>40.0</w:t>
            </w:r>
          </w:p>
        </w:tc>
      </w:tr>
      <w:tr>
        <w:tc>
          <w:tcPr>
            <w:tcW w:type="dxa" w:w="1080"/>
          </w:tcPr>
          <w:p>
            <w:r>
              <w:t>የተገነባ የአርቲፊሻል ኢንተለጀንስ መሰረተ ልማት</w:t>
            </w:r>
          </w:p>
        </w:tc>
        <w:tc>
          <w:tcPr>
            <w:tcW w:type="dxa" w:w="1080"/>
          </w:tcPr>
          <w:p>
            <w:r>
              <w:t>በቁጥር</w:t>
            </w:r>
          </w:p>
        </w:tc>
        <w:tc>
          <w:tcPr>
            <w:tcW w:type="dxa" w:w="1080"/>
          </w:tcPr>
          <w:p>
            <w:r>
              <w:t>1.0</w:t>
            </w:r>
          </w:p>
        </w:tc>
        <w:tc>
          <w:tcPr>
            <w:tcW w:type="dxa" w:w="1080"/>
          </w:tcPr>
          <w:p>
            <w:r>
              <w:t>1.0</w:t>
            </w:r>
          </w:p>
        </w:tc>
        <w:tc>
          <w:tcPr>
            <w:tcW w:type="dxa" w:w="1080"/>
          </w:tcPr>
          <w:p>
            <w:r>
              <w:t>0.0</w:t>
            </w:r>
          </w:p>
        </w:tc>
        <w:tc>
          <w:tcPr>
            <w:tcW w:type="dxa" w:w="1080"/>
          </w:tcPr>
          <w:p>
            <w:r>
              <w:t>0.0</w:t>
            </w:r>
          </w:p>
        </w:tc>
        <w:tc>
          <w:tcPr>
            <w:tcW w:type="dxa" w:w="1080"/>
          </w:tcPr>
          <w:p>
            <w:r>
              <w:t>0.0</w:t>
            </w:r>
          </w:p>
        </w:tc>
        <w:tc>
          <w:tcPr>
            <w:tcW w:type="dxa" w:w="1080"/>
          </w:tcPr>
          <w:p>
            <w:r>
              <w:t>1.0</w:t>
            </w:r>
          </w:p>
        </w:tc>
      </w:tr>
      <w:tr>
        <w:tc>
          <w:tcPr>
            <w:tcW w:type="dxa" w:w="1080"/>
          </w:tcPr>
          <w:p>
            <w:r>
              <w:t>ፋሲሊቲ የተሞላለት የአርቲፊሻል ኢንተለጀንስ መሰረተ ልማት</w:t>
            </w:r>
          </w:p>
        </w:tc>
        <w:tc>
          <w:tcPr>
            <w:tcW w:type="dxa" w:w="1080"/>
          </w:tcPr>
          <w:p>
            <w:r>
              <w:t>በቁጥር</w:t>
            </w:r>
          </w:p>
        </w:tc>
        <w:tc>
          <w:tcPr>
            <w:tcW w:type="dxa" w:w="1080"/>
          </w:tcPr>
          <w:p>
            <w:r>
              <w:t>1.0</w:t>
            </w:r>
          </w:p>
        </w:tc>
        <w:tc>
          <w:tcPr>
            <w:tcW w:type="dxa" w:w="1080"/>
          </w:tcPr>
          <w:p>
            <w:r>
              <w:t>1.0</w:t>
            </w:r>
          </w:p>
        </w:tc>
        <w:tc>
          <w:tcPr>
            <w:tcW w:type="dxa" w:w="1080"/>
          </w:tcPr>
          <w:p>
            <w:r>
              <w:t>0.0</w:t>
            </w:r>
          </w:p>
        </w:tc>
        <w:tc>
          <w:tcPr>
            <w:tcW w:type="dxa" w:w="1080"/>
          </w:tcPr>
          <w:p>
            <w:r>
              <w:t>0.0</w:t>
            </w:r>
          </w:p>
        </w:tc>
        <w:tc>
          <w:tcPr>
            <w:tcW w:type="dxa" w:w="1080"/>
          </w:tcPr>
          <w:p>
            <w:r>
              <w:t>0.0</w:t>
            </w:r>
          </w:p>
        </w:tc>
        <w:tc>
          <w:tcPr>
            <w:tcW w:type="dxa" w:w="1080"/>
          </w:tcPr>
          <w:p>
            <w:r>
              <w:t>1.0</w:t>
            </w:r>
          </w:p>
        </w:tc>
      </w:tr>
    </w:tbl>
    <w:p>
      <w:pPr>
        <w:pStyle w:val="Heading1"/>
      </w:pPr>
      <w:r>
        <w:rPr>
          <w:rFonts w:ascii="Ebrima" w:hAnsi="Ebrima"/>
          <w:b/>
          <w:color w:val="2F6EBC"/>
          <w:sz w:val="34"/>
        </w:rPr>
        <w:t>4. የበጀት ዓመቱን የልማት ዕቅድ ለማሰካት የሚተገበሩ ማስፈጸሚያዎች</w:t>
      </w:r>
    </w:p>
    <w:p>
      <w:pPr>
        <w:jc w:val="lowKashida"/>
      </w:pPr>
      <w:r>
        <w:rPr>
          <w:rFonts w:ascii="Ebrima" w:hAnsi="Ebrima"/>
          <w:sz w:val="24"/>
        </w:rPr>
      </w:r>
    </w:p>
    <w:sectPr w:rsidR="00FC693F" w:rsidRPr="0006063C" w:rsidSect="00034616">
      <w:headerReference w:type="default" r:id="rId9"/>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p>
    <w:pPr>
      <w:jc w:val="right"/>
    </w:pPr>
    <w:r>
      <w:rPr>
        <w:b w:val="0"/>
        <w:sz w:val="20"/>
      </w:rPr>
      <w:t>AI for All ! &amp; አርቲፊሻል ኢንተለጀንስ ለሁሉም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r>
      <w:rPr>
        <w:b/>
        <w:color w:val="110D7C"/>
        <w:sz w:val="40"/>
      </w:rPr>
      <w:t>2018 ዓ.ም</w:t>
    </w:r>
  </w:p>
  <w:p>
    <w:pPr>
      <w:jc w:val="right"/>
    </w:pPr>
    <w:r>
      <w:rPr>
        <w:b/>
        <w:color w:val="110D7C"/>
        <w:sz w:val="40"/>
      </w:rPr>
      <w:t>አዲስ አበባ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የኢትዮጵያ አርቲፊሻል ኢንተለጀንስ ኢንስቲትዩት የ2018 በጀት ዓመት ዓመታዊ የልማት ዕቅድ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rima" w:hAnsi="Ebri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