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Resumo das Regras de Cálculo — Relatório Semanal +TOP</w:t>
      </w:r>
    </w:p>
    <w:p>
      <w:pPr>
        <w:jc w:val="center"/>
      </w:pPr>
      <w:r>
        <w:t>Data: 22/06/2026</w:t>
      </w:r>
    </w:p>
    <w:p/>
    <w:p>
      <w:pPr>
        <w:pStyle w:val="Heading1"/>
      </w:pPr>
      <w:r>
        <w:t>1. Base principal de cadastros</w:t>
      </w:r>
    </w:p>
    <w:p>
      <w:pPr>
        <w:pStyle w:val="ListBullet"/>
        <w:ind w:left="360"/>
      </w:pPr>
      <w:r>
        <w:t>Arquivo: consolidado_hierarquia_com_cadastro_site.xlsx (aba "CPFs Distintos Hierarquia")</w:t>
      </w:r>
    </w:p>
    <w:p>
      <w:pPr>
        <w:pStyle w:val="ListBullet"/>
        <w:ind w:left="360"/>
      </w:pPr>
      <w:r>
        <w:t>Considerada a fonte correta para o total de cadastros do Programa +TOP.</w:t>
      </w:r>
    </w:p>
    <w:p>
      <w:pPr>
        <w:pStyle w:val="Heading1"/>
      </w:pPr>
      <w:r>
        <w:t>2. Bases complementares</w:t>
      </w:r>
    </w:p>
    <w:p>
      <w:pPr>
        <w:pStyle w:val="ListBullet"/>
        <w:ind w:left="360"/>
      </w:pPr>
      <w:r>
        <w:t>cadastro.xlsx: usado para cidade, UF, bairro, telefone, e-mail e mapeamento revenda → regional.</w:t>
      </w:r>
    </w:p>
    <w:p>
      <w:pPr>
        <w:pStyle w:val="ListBullet"/>
        <w:ind w:left="360"/>
      </w:pPr>
      <w:r>
        <w:t>PROD_WHP_Participante_Banco_v2_Original.xlsx: usado para validar Data de Inclusão e aplicar a regra dos 90 dias.</w:t>
      </w:r>
    </w:p>
    <w:p>
      <w:pPr>
        <w:pStyle w:val="Heading1"/>
      </w:pPr>
      <w:r>
        <w:t>3. Revendas excluídas do cálculo</w:t>
      </w:r>
    </w:p>
    <w:p>
      <w:pPr>
        <w:pStyle w:val="ListBullet"/>
        <w:ind w:left="360"/>
      </w:pPr>
      <w:r>
        <w:t>EAI</w:t>
      </w:r>
    </w:p>
    <w:p>
      <w:pPr>
        <w:pStyle w:val="ListBullet"/>
        <w:ind w:left="360"/>
      </w:pPr>
      <w:r>
        <w:t>Whirlpool</w:t>
      </w:r>
    </w:p>
    <w:p>
      <w:pPr>
        <w:pStyle w:val="ListBullet"/>
        <w:ind w:left="360"/>
      </w:pPr>
      <w:r>
        <w:t>Novo Mundo</w:t>
      </w:r>
    </w:p>
    <w:p>
      <w:pPr>
        <w:pStyle w:val="ListBullet"/>
        <w:ind w:left="360"/>
      </w:pPr>
      <w:r>
        <w:t>ELETROMÓVEIS MARTINELLO</w:t>
      </w:r>
    </w:p>
    <w:p>
      <w:pPr>
        <w:pStyle w:val="Heading1"/>
      </w:pPr>
      <w:r>
        <w:t>4. Status excluídos da base operacional</w:t>
      </w:r>
    </w:p>
    <w:p>
      <w:pPr>
        <w:pStyle w:val="ListBullet"/>
        <w:ind w:left="360"/>
      </w:pPr>
      <w:r>
        <w:t>Inativo</w:t>
      </w:r>
    </w:p>
    <w:p>
      <w:pPr>
        <w:pStyle w:val="ListBullet"/>
        <w:ind w:left="360"/>
      </w:pPr>
      <w:r>
        <w:t>Bloqueado</w:t>
      </w:r>
    </w:p>
    <w:p>
      <w:pPr>
        <w:pStyle w:val="ListBullet"/>
        <w:ind w:left="360"/>
      </w:pPr>
      <w:r>
        <w:t>Reprovado</w:t>
      </w:r>
    </w:p>
    <w:p>
      <w:pPr>
        <w:pStyle w:val="ListBullet"/>
        <w:ind w:left="360"/>
      </w:pPr>
      <w:r>
        <w:t>Aguardando Aprovação</w:t>
      </w:r>
    </w:p>
    <w:p>
      <w:pPr>
        <w:pStyle w:val="ListBullet"/>
        <w:ind w:left="360"/>
      </w:pPr>
      <w:r>
        <w:t>CPFs com esses status não entram nos cálculos de cadastros, treinamentos e aceites.</w:t>
      </w:r>
    </w:p>
    <w:p>
      <w:pPr>
        <w:pStyle w:val="Heading1"/>
      </w:pPr>
      <w:r>
        <w:t>5. Regra dos 90 dias</w:t>
      </w:r>
    </w:p>
    <w:p>
      <w:pPr>
        <w:pStyle w:val="ListBullet"/>
        <w:ind w:left="360"/>
      </w:pPr>
      <w:r>
        <w:t>Aplicada SOMENTE para: Pré-Cadastrado.</w:t>
      </w:r>
    </w:p>
    <w:p>
      <w:pPr>
        <w:pStyle w:val="ListBullet"/>
        <w:ind w:left="360"/>
      </w:pPr>
      <w:r>
        <w:t>Se tiver Data de Inclusão há 90 dias ou mais na base do banco, é convertido para Inativo e excluído.</w:t>
      </w:r>
    </w:p>
    <w:p>
      <w:pPr>
        <w:pStyle w:val="ListBullet"/>
        <w:ind w:left="360"/>
      </w:pPr>
      <w:r>
        <w:t>Indicado Moderado NÃO entra nesta regra.</w:t>
      </w:r>
    </w:p>
    <w:p>
      <w:pPr>
        <w:pStyle w:val="ListBullet"/>
        <w:ind w:left="360"/>
      </w:pPr>
      <w:r>
        <w:t>No relatório atual: 299 Pré-Cadastrados foram convertidos para Inativo.</w:t>
      </w:r>
    </w:p>
    <w:p>
      <w:pPr>
        <w:pStyle w:val="Heading1"/>
      </w:pPr>
      <w:r>
        <w:t>6. Tratamento de CPFs sem status</w:t>
      </w:r>
    </w:p>
    <w:p>
      <w:pPr>
        <w:pStyle w:val="ListBullet"/>
        <w:ind w:left="360"/>
      </w:pPr>
      <w:r>
        <w:t>1.646 CPFs no consolidado estavam com status vazio.</w:t>
      </w:r>
    </w:p>
    <w:p>
      <w:pPr>
        <w:pStyle w:val="ListBullet"/>
        <w:ind w:left="360"/>
      </w:pPr>
      <w:r>
        <w:t>Nenhum foi encontrado na base original do banco.</w:t>
      </w:r>
    </w:p>
    <w:p>
      <w:pPr>
        <w:pStyle w:val="ListBullet"/>
        <w:ind w:left="360"/>
      </w:pPr>
      <w:r>
        <w:t>Todos foram classificados como Pré-Cadastrado.</w:t>
      </w:r>
    </w:p>
    <w:p>
      <w:pPr>
        <w:pStyle w:val="Heading1"/>
      </w:pPr>
      <w:r>
        <w:t>7. Base final de cadastros no relatório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Quantidade no consolidado</w:t>
            </w:r>
          </w:p>
        </w:tc>
        <w:tc>
          <w:tcPr>
            <w:tcW w:type="dxa" w:w="2880"/>
          </w:tcPr>
          <w:p>
            <w:r>
              <w:t>Após regras</w:t>
            </w:r>
          </w:p>
        </w:tc>
      </w:tr>
      <w:tr>
        <w:tc>
          <w:tcPr>
            <w:tcW w:type="dxa" w:w="2880"/>
          </w:tcPr>
          <w:p>
            <w:r>
              <w:t>Ativo</w:t>
            </w:r>
          </w:p>
        </w:tc>
        <w:tc>
          <w:tcPr>
            <w:tcW w:type="dxa" w:w="2880"/>
          </w:tcPr>
          <w:p>
            <w:r>
              <w:t>9.441</w:t>
            </w:r>
          </w:p>
        </w:tc>
        <w:tc>
          <w:tcPr>
            <w:tcW w:type="dxa" w:w="2880"/>
          </w:tcPr>
          <w:p>
            <w:r>
              <w:t>9.441</w:t>
            </w:r>
          </w:p>
        </w:tc>
      </w:tr>
      <w:tr>
        <w:tc>
          <w:tcPr>
            <w:tcW w:type="dxa" w:w="2880"/>
          </w:tcPr>
          <w:p>
            <w:r>
              <w:t>Pré-Cadastrado</w:t>
            </w:r>
          </w:p>
        </w:tc>
        <w:tc>
          <w:tcPr>
            <w:tcW w:type="dxa" w:w="2880"/>
          </w:tcPr>
          <w:p>
            <w:r>
              <w:t>6.346</w:t>
            </w:r>
          </w:p>
        </w:tc>
        <w:tc>
          <w:tcPr>
            <w:tcW w:type="dxa" w:w="2880"/>
          </w:tcPr>
          <w:p>
            <w:r>
              <w:t>6.047</w:t>
            </w:r>
          </w:p>
        </w:tc>
      </w:tr>
      <w:tr>
        <w:tc>
          <w:tcPr>
            <w:tcW w:type="dxa" w:w="2880"/>
          </w:tcPr>
          <w:p>
            <w:r>
              <w:t>Indicado Moderado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Inativo</w:t>
            </w:r>
          </w:p>
        </w:tc>
        <w:tc>
          <w:tcPr>
            <w:tcW w:type="dxa" w:w="2880"/>
          </w:tcPr>
          <w:p>
            <w:r>
              <w:t>1.433</w:t>
            </w:r>
          </w:p>
        </w:tc>
        <w:tc>
          <w:tcPr>
            <w:tcW w:type="dxa" w:w="2880"/>
          </w:tcPr>
          <w:p>
            <w:r>
              <w:t>1.732</w:t>
            </w:r>
          </w:p>
        </w:tc>
      </w:tr>
      <w:tr>
        <w:tc>
          <w:tcPr>
            <w:tcW w:type="dxa" w:w="2880"/>
          </w:tcPr>
          <w:p>
            <w:r>
              <w:t>Bloqueado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excluído</w:t>
            </w:r>
          </w:p>
        </w:tc>
      </w:tr>
      <w:tr>
        <w:tc>
          <w:tcPr>
            <w:tcW w:type="dxa" w:w="2880"/>
          </w:tcPr>
          <w:p>
            <w:r>
              <w:t>Reprovado</w:t>
            </w:r>
          </w:p>
        </w:tc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excluído</w:t>
            </w:r>
          </w:p>
        </w:tc>
      </w:tr>
      <w:tr>
        <w:tc>
          <w:tcPr>
            <w:tcW w:type="dxa" w:w="2880"/>
          </w:tcPr>
          <w:p>
            <w:r>
              <w:t>Total válido no relatório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15.497</w:t>
            </w:r>
          </w:p>
        </w:tc>
      </w:tr>
    </w:tbl>
    <w:p/>
    <w:p>
      <w:pPr>
        <w:pStyle w:val="Heading1"/>
      </w:pPr>
      <w:r>
        <w:t>8. Cálculo do KPI de Cadastros</w:t>
      </w:r>
    </w:p>
    <w:p>
      <w:pPr>
        <w:pStyle w:val="ListBullet"/>
        <w:ind w:left="360"/>
      </w:pPr>
      <w:r>
        <w:t>Fórmula: % ativos = 9.441 ÷ 15.497 = 60,92% ≈ 60,9%</w:t>
      </w:r>
    </w:p>
    <w:p>
      <w:pPr>
        <w:pStyle w:val="ListBullet"/>
        <w:ind w:left="360"/>
      </w:pPr>
      <w:r>
        <w:t>Balão de cima: usa média ponderada (total de ativos ÷ total de cadastros).</w:t>
      </w:r>
    </w:p>
    <w:p>
      <w:pPr>
        <w:pStyle w:val="ListBullet"/>
        <w:ind w:left="360"/>
      </w:pPr>
      <w:r>
        <w:t>Gráfico: usa média simples dos percentuais de cada regional.</w:t>
      </w:r>
    </w:p>
    <w:p>
      <w:pPr>
        <w:pStyle w:val="Heading1"/>
      </w:pPr>
      <w:r>
        <w:t>9. Cálculo de Treinamentos</w:t>
      </w:r>
    </w:p>
    <w:p>
      <w:pPr>
        <w:pStyle w:val="ListBullet"/>
        <w:ind w:left="360"/>
      </w:pPr>
      <w:r>
        <w:t>Base = apenas CPFs Ativos (9.441).</w:t>
      </w:r>
    </w:p>
    <w:p>
      <w:pPr>
        <w:pStyle w:val="ListBullet"/>
        <w:ind w:left="360"/>
      </w:pPr>
      <w:r>
        <w:t>Conta quantos ativos concluíram ambos os cursos obrigatórios do mês.</w:t>
      </w:r>
    </w:p>
    <w:p>
      <w:pPr>
        <w:pStyle w:val="ListBullet"/>
        <w:ind w:left="360"/>
      </w:pPr>
      <w:r>
        <w:t>Fórmula: % = ativos que fizeram ambos os cursos ÷ base ativa.</w:t>
      </w:r>
    </w:p>
    <w:p>
      <w:pPr>
        <w:pStyle w:val="Heading1"/>
      </w:pPr>
      <w:r>
        <w:t>10. Cálculo de Aceites</w:t>
      </w:r>
    </w:p>
    <w:p>
      <w:pPr>
        <w:pStyle w:val="ListBullet"/>
        <w:ind w:left="360"/>
      </w:pPr>
      <w:r>
        <w:t>Base = apenas CPFs Ativos (9.441).</w:t>
      </w:r>
    </w:p>
    <w:p>
      <w:pPr>
        <w:pStyle w:val="ListBullet"/>
        <w:ind w:left="360"/>
      </w:pPr>
      <w:r>
        <w:t>Conta quantos ativos fizeram aceite no mês de referência.</w:t>
      </w:r>
    </w:p>
    <w:p>
      <w:pPr>
        <w:pStyle w:val="ListBullet"/>
        <w:ind w:left="360"/>
      </w:pPr>
      <w:r>
        <w:t>Fórmula: % = ativos que aceitaram ÷ base ativa.</w:t>
      </w:r>
    </w:p>
    <w:p>
      <w:pPr>
        <w:pStyle w:val="Heading1"/>
      </w:pPr>
      <w:r>
        <w:t>11. Mapeamento regional</w:t>
      </w:r>
    </w:p>
    <w:p>
      <w:pPr>
        <w:pStyle w:val="ListBullet"/>
        <w:ind w:left="360"/>
      </w:pPr>
      <w:r>
        <w:t>Revenda → regional vem do cadastro.xlsx.</w:t>
      </w:r>
    </w:p>
    <w:p>
      <w:pPr>
        <w:pStyle w:val="ListBullet"/>
        <w:ind w:left="360"/>
      </w:pPr>
      <w:r>
        <w:t>Busca é case-insensitive para evitar divergências de grafia.</w:t>
      </w:r>
    </w:p>
    <w:p>
      <w:pPr>
        <w:pStyle w:val="ListBullet"/>
        <w:ind w:left="360"/>
      </w:pPr>
      <w:r>
        <w:t>Casas da Água é mapeada via CDA.</w:t>
      </w:r>
    </w:p>
    <w:p>
      <w:r>
        <w:br w:type="page"/>
      </w:r>
    </w:p>
    <w:p>
      <w:pPr>
        <w:pStyle w:val="Heading1"/>
      </w:pPr>
      <w:r>
        <w:t>Commits no GitHub</w:t>
      </w:r>
    </w:p>
    <w:p>
      <w:pPr>
        <w:pStyle w:val="ListBullet"/>
      </w:pPr>
      <w:r>
        <w:t>1c1b416 — volta regra dos 90 dias apenas para Pré-Cadastrado</w:t>
      </w:r>
    </w:p>
    <w:p>
      <w:pPr>
        <w:pStyle w:val="ListBullet"/>
      </w:pPr>
      <w:r>
        <w:t>ce75bef — aplica regra dos 90 dias também para Indicado Moderado (revertido)</w:t>
      </w:r>
    </w:p>
    <w:p>
      <w:pPr>
        <w:pStyle w:val="ListBullet"/>
      </w:pPr>
      <w:r>
        <w:t>65421d2 — atualiza base consolidada com status dos 1.646 CPFs vazios</w:t>
      </w:r>
    </w:p>
    <w:p>
      <w:pPr>
        <w:pStyle w:val="ListBullet"/>
      </w:pPr>
      <w:r>
        <w:t>bd5ffa0 — usa consolidado_hierarquia_com_cadastro_site como base de cadastros</w:t>
      </w:r>
    </w:p>
    <w:p/>
    <w:p>
      <w:r>
        <w:t>Branch: feature/automacao-download-teste</w:t>
      </w:r>
    </w:p>
    <w:p>
      <w:r>
        <w:t>Último email enviado com sucesso para: thamires.vieira@eaimkt.com.br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