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Regras de Negócio e Cálculo — envio_relatorio</w:t>
      </w:r>
    </w:p>
    <w:p>
      <w:pPr>
        <w:jc w:val="center"/>
      </w:pPr>
      <w:r>
        <w:t>Documento para validação e avaliação das regras aplicadas no relatório semanal Programa +TOP</w:t>
      </w:r>
    </w:p>
    <w:p>
      <w:pPr>
        <w:jc w:val="center"/>
      </w:pPr>
      <w:r>
        <w:t>Gerado em: 22/06/2026</w:t>
      </w:r>
    </w:p>
    <w:p/>
    <w:p>
      <w:pPr>
        <w:pStyle w:val="Heading1"/>
      </w:pPr>
      <w:r>
        <w:t>1. Base principal de cadastros</w:t>
      </w:r>
    </w:p>
    <w:p>
      <w:pPr>
        <w:pStyle w:val="ListBullet"/>
      </w:pPr>
      <w:r>
        <w:rPr>
          <w:b/>
        </w:rPr>
        <w:t>Arquivo</w:t>
      </w:r>
      <w:r>
        <w:t>: envio_relatorio/bases/bases_cadastro_hierarquia/consolidado_hierarquia_com_cadastro_site.xlsx</w:t>
      </w:r>
    </w:p>
    <w:p>
      <w:pPr>
        <w:pStyle w:val="ListBullet"/>
      </w:pPr>
      <w:r>
        <w:rPr>
          <w:b/>
        </w:rPr>
        <w:t>Aba</w:t>
      </w:r>
      <w:r>
        <w:t>: CPFs Distintos Hierarquia</w:t>
      </w:r>
    </w:p>
    <w:p>
      <w:pPr>
        <w:pStyle w:val="ListBullet"/>
      </w:pPr>
      <w:r>
        <w:rPr>
          <w:b/>
        </w:rPr>
        <w:t>Regra</w:t>
      </w:r>
      <w:r>
        <w:t>: Considerada a fonte correta para total de cadastros. O cadastro.xlsx é usado apenas como complemento.</w:t>
      </w:r>
    </w:p>
    <w:p>
      <w:pPr>
        <w:pStyle w:val="ListBullet"/>
      </w:pPr>
      <w:r>
        <w:rPr>
          <w:b/>
        </w:rPr>
        <w:t>Colunas</w:t>
      </w:r>
      <w:r>
        <w:t>: CPF_limpo, CPF, Nome, Revenda, Status, Cargo, Loja, CNPJ_Loja, Cod_Loja_Hierarquia, CNPJ_Hierarquia, Vendedor_Hierarquia, Gerente_Loja_Hierarquia, Gerente_Regional_Hierarquia, Data_Inclusao, Regional</w:t>
      </w:r>
    </w:p>
    <w:p>
      <w:pPr>
        <w:pStyle w:val="Heading1"/>
      </w:pPr>
      <w:r>
        <w:t>2. Bases complementares</w:t>
      </w:r>
    </w:p>
    <w:p>
      <w:pPr>
        <w:pStyle w:val="ListBullet"/>
      </w:pPr>
      <w:r>
        <w:rPr>
          <w:b/>
        </w:rPr>
        <w:t>cadastro.xlsx</w:t>
      </w:r>
      <w:r>
        <w:t>: Complementa dados pessoais (cidade, UF, bairro, telefone, email) e fornece mapeamento revenda → regional.</w:t>
      </w:r>
    </w:p>
    <w:p>
      <w:pPr>
        <w:pStyle w:val="ListBullet"/>
      </w:pPr>
      <w:r>
        <w:rPr>
          <w:b/>
        </w:rPr>
        <w:t>PROD_WHP_Participante_Banco_v2_Original.xlsx</w:t>
      </w:r>
      <w:r>
        <w:t>: Usado para validar Data de Inclusão e aplicar regra dos 90 dias.</w:t>
      </w:r>
    </w:p>
    <w:p>
      <w:pPr>
        <w:pStyle w:val="ListBullet"/>
      </w:pPr>
      <w:r>
        <w:rPr>
          <w:b/>
        </w:rPr>
        <w:t>Base_treinamentos.xlsx</w:t>
      </w:r>
      <w:r>
        <w:t>: Fonte dos treinamentos concluídos.</w:t>
      </w:r>
    </w:p>
    <w:p>
      <w:pPr>
        <w:pStyle w:val="ListBullet"/>
      </w:pPr>
      <w:r>
        <w:rPr>
          <w:b/>
        </w:rPr>
        <w:t>WHP_Aceite_Mensal_*.xlsx</w:t>
      </w:r>
      <w:r>
        <w:t>: Fonte dos aceites mensais. O código procura aba do mês atual; se não encontrar, usa a última aba disponível.</w:t>
      </w:r>
    </w:p>
    <w:p>
      <w:pPr>
        <w:pStyle w:val="Heading1"/>
      </w:pPr>
      <w:r>
        <w:t>3. Revendas excluídas do cálculo</w:t>
      </w:r>
    </w:p>
    <w:p>
      <w:pPr>
        <w:pStyle w:val="ListBullet"/>
      </w:pPr>
      <w:r>
        <w:t>EAI</w:t>
      </w:r>
    </w:p>
    <w:p>
      <w:pPr>
        <w:pStyle w:val="ListBullet"/>
      </w:pPr>
      <w:r>
        <w:t>Whirlpool</w:t>
      </w:r>
    </w:p>
    <w:p>
      <w:pPr>
        <w:pStyle w:val="ListBullet"/>
      </w:pPr>
      <w:r>
        <w:t>Novo Mundo</w:t>
      </w:r>
    </w:p>
    <w:p>
      <w:pPr>
        <w:pStyle w:val="ListBullet"/>
      </w:pPr>
      <w:r>
        <w:t>ELETROMÓVEIS MARTINELLO</w:t>
      </w:r>
    </w:p>
    <w:p>
      <w:pPr>
        <w:pStyle w:val="ListBullet"/>
      </w:pPr>
      <w:r>
        <w:rPr>
          <w:b/>
        </w:rPr>
        <w:t>Motivo</w:t>
      </w:r>
      <w:r>
        <w:t>: São consideradas revendas de teste ou inválidas para o relatório.</w:t>
      </w:r>
    </w:p>
    <w:p>
      <w:pPr>
        <w:pStyle w:val="Heading1"/>
      </w:pPr>
      <w:r>
        <w:t>4. Status excluídos da base operacional</w:t>
      </w:r>
    </w:p>
    <w:p>
      <w:pPr>
        <w:pStyle w:val="ListBullet"/>
      </w:pPr>
      <w:r>
        <w:t>Inativo</w:t>
      </w:r>
    </w:p>
    <w:p>
      <w:pPr>
        <w:pStyle w:val="ListBullet"/>
      </w:pPr>
      <w:r>
        <w:t>Bloqueado</w:t>
      </w:r>
    </w:p>
    <w:p>
      <w:pPr>
        <w:pStyle w:val="ListBullet"/>
      </w:pPr>
      <w:r>
        <w:t>Reprovado</w:t>
      </w:r>
    </w:p>
    <w:p>
      <w:pPr>
        <w:pStyle w:val="ListBullet"/>
      </w:pPr>
      <w:r>
        <w:t>Aguardando Aprovação</w:t>
      </w:r>
    </w:p>
    <w:p>
      <w:pPr>
        <w:pStyle w:val="ListBullet"/>
      </w:pPr>
      <w:r>
        <w:rPr>
          <w:b/>
        </w:rPr>
        <w:t>Regra</w:t>
      </w:r>
      <w:r>
        <w:t>: CPFs com esses status são desconsiderados nos cálculos de cadastros, treinamentos e aceites.</w:t>
      </w:r>
    </w:p>
    <w:p>
      <w:pPr>
        <w:pStyle w:val="Heading1"/>
      </w:pPr>
      <w:r>
        <w:t>5. Regra dos 90 dias</w:t>
      </w:r>
    </w:p>
    <w:p>
      <w:pPr>
        <w:pStyle w:val="ListBullet"/>
      </w:pPr>
      <w:r>
        <w:rPr>
          <w:b/>
        </w:rPr>
        <w:t>Aplica-se a</w:t>
      </w:r>
      <w:r>
        <w:t>: Pré-Cadastrado (apenas)</w:t>
      </w:r>
    </w:p>
    <w:p>
      <w:pPr>
        <w:pStyle w:val="ListBullet"/>
      </w:pPr>
      <w:r>
        <w:rPr>
          <w:b/>
        </w:rPr>
        <w:t>Condição</w:t>
      </w:r>
      <w:r>
        <w:t>: Status = Pré-Cadastrado AND DataInclusao preenchida AND dias desde inclusão &gt;= 90</w:t>
      </w:r>
    </w:p>
    <w:p>
      <w:pPr>
        <w:pStyle w:val="ListBullet"/>
      </w:pPr>
      <w:r>
        <w:rPr>
          <w:b/>
        </w:rPr>
        <w:t>Ação</w:t>
      </w:r>
      <w:r>
        <w:t>: Status convertido para Inativo e CPF excluído da base operacional.</w:t>
      </w:r>
    </w:p>
    <w:p>
      <w:pPr>
        <w:pStyle w:val="ListBullet"/>
      </w:pPr>
      <w:r>
        <w:rPr>
          <w:b/>
        </w:rPr>
        <w:t>Base usada</w:t>
      </w:r>
      <w:r>
        <w:t>: PROD_WHP_Participante_Banco_v2_Original.xlsx</w:t>
      </w:r>
    </w:p>
    <w:p>
      <w:pPr>
        <w:pStyle w:val="ListBullet"/>
      </w:pPr>
      <w:r>
        <w:rPr>
          <w:b/>
        </w:rPr>
        <w:t>Resultado atual</w:t>
      </w:r>
      <w:r>
        <w:t>: 299 Pré-Cadastrados convertidos para Inativo.</w:t>
      </w:r>
    </w:p>
    <w:p>
      <w:pPr>
        <w:pStyle w:val="Heading1"/>
      </w:pPr>
      <w:r>
        <w:t>6. Tratamento de CPFs sem status</w:t>
      </w:r>
    </w:p>
    <w:p>
      <w:pPr>
        <w:pStyle w:val="ListBullet"/>
      </w:pPr>
      <w:r>
        <w:rPr>
          <w:b/>
        </w:rPr>
        <w:t>Situação</w:t>
      </w:r>
      <w:r>
        <w:t>: 1.646 CPFs no consolidado com status vazio.</w:t>
      </w:r>
    </w:p>
    <w:p>
      <w:pPr>
        <w:pStyle w:val="ListBullet"/>
      </w:pPr>
      <w:r>
        <w:rPr>
          <w:b/>
        </w:rPr>
        <w:t>Verificação</w:t>
      </w:r>
      <w:r>
        <w:t>: Nenhum encontrado na base original do banco.</w:t>
      </w:r>
    </w:p>
    <w:p>
      <w:pPr>
        <w:pStyle w:val="ListBullet"/>
      </w:pPr>
      <w:r>
        <w:rPr>
          <w:b/>
        </w:rPr>
        <w:t>Ação</w:t>
      </w:r>
      <w:r>
        <w:t>: Todos classificados como Pré-Cadastrado.</w:t>
      </w:r>
    </w:p>
    <w:p>
      <w:pPr>
        <w:pStyle w:val="ListBullet"/>
      </w:pPr>
      <w:r>
        <w:rPr>
          <w:b/>
        </w:rPr>
        <w:t>Observação</w:t>
      </w:r>
      <w:r>
        <w:t>: Como a maioria não possui Data de Inclusão, a regra dos 90 dias não se aplica a eles.</w:t>
      </w:r>
    </w:p>
    <w:p>
      <w:pPr>
        <w:pStyle w:val="Heading1"/>
      </w:pPr>
      <w:r>
        <w:t>7. Normalizações aplicadas</w:t>
      </w:r>
    </w:p>
    <w:p>
      <w:pPr>
        <w:pStyle w:val="ListBullet"/>
      </w:pPr>
      <w:r>
        <w:rPr>
          <w:b/>
        </w:rPr>
        <w:t>CPF</w:t>
      </w:r>
      <w:r>
        <w:t>: Sempre tratado como texto, com 11 dígitos, preservando zeros à esquerda.</w:t>
      </w:r>
    </w:p>
    <w:p>
      <w:pPr>
        <w:pStyle w:val="ListBullet"/>
      </w:pPr>
      <w:r>
        <w:rPr>
          <w:b/>
        </w:rPr>
        <w:t>Revenda</w:t>
      </w:r>
      <w:r>
        <w:t>: Nomes normalizados para revenda principal (ex: Becker B → Becker, CDA → Casas da Água).</w:t>
      </w:r>
    </w:p>
    <w:p>
      <w:pPr>
        <w:pStyle w:val="ListBullet"/>
      </w:pPr>
      <w:r>
        <w:rPr>
          <w:b/>
        </w:rPr>
        <w:t>Regional</w:t>
      </w:r>
      <w:r>
        <w:t>: Busca case-insensitive no mapeamento revenda → regional. Casas da agua/Água mapeada via CDA.</w:t>
      </w:r>
    </w:p>
    <w:p>
      <w:pPr>
        <w:pStyle w:val="Heading1"/>
      </w:pPr>
      <w:r>
        <w:t>8. Cálculo do KPI de Cadastros</w:t>
      </w:r>
    </w:p>
    <w:p>
      <w:r>
        <w:t>Base final após regras: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 consolidado</w:t>
            </w:r>
          </w:p>
        </w:tc>
        <w:tc>
          <w:tcPr>
            <w:tcW w:type="dxa" w:w="2880"/>
          </w:tcPr>
          <w:p>
            <w:r>
              <w:t>Após regras</w:t>
            </w:r>
          </w:p>
        </w:tc>
      </w:tr>
      <w:tr>
        <w:tc>
          <w:tcPr>
            <w:tcW w:type="dxa" w:w="2880"/>
          </w:tcPr>
          <w:p>
            <w:r>
              <w:t>Ativo</w:t>
            </w:r>
          </w:p>
        </w:tc>
        <w:tc>
          <w:tcPr>
            <w:tcW w:type="dxa" w:w="2880"/>
          </w:tcPr>
          <w:p>
            <w:r>
              <w:t>9.441</w:t>
            </w:r>
          </w:p>
        </w:tc>
        <w:tc>
          <w:tcPr>
            <w:tcW w:type="dxa" w:w="2880"/>
          </w:tcPr>
          <w:p>
            <w:r>
              <w:t>9.441</w:t>
            </w:r>
          </w:p>
        </w:tc>
      </w:tr>
      <w:tr>
        <w:tc>
          <w:tcPr>
            <w:tcW w:type="dxa" w:w="2880"/>
          </w:tcPr>
          <w:p>
            <w:r>
              <w:t>Pré-Cadastrado</w:t>
            </w:r>
          </w:p>
        </w:tc>
        <w:tc>
          <w:tcPr>
            <w:tcW w:type="dxa" w:w="2880"/>
          </w:tcPr>
          <w:p>
            <w:r>
              <w:t>6.346</w:t>
            </w:r>
          </w:p>
        </w:tc>
        <w:tc>
          <w:tcPr>
            <w:tcW w:type="dxa" w:w="2880"/>
          </w:tcPr>
          <w:p>
            <w:r>
              <w:t>6.047</w:t>
            </w:r>
          </w:p>
        </w:tc>
      </w:tr>
      <w:tr>
        <w:tc>
          <w:tcPr>
            <w:tcW w:type="dxa" w:w="2880"/>
          </w:tcPr>
          <w:p>
            <w:r>
              <w:t>Indicado Moderado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Inativo</w:t>
            </w:r>
          </w:p>
        </w:tc>
        <w:tc>
          <w:tcPr>
            <w:tcW w:type="dxa" w:w="2880"/>
          </w:tcPr>
          <w:p>
            <w:r>
              <w:t>1.433</w:t>
            </w:r>
          </w:p>
        </w:tc>
        <w:tc>
          <w:tcPr>
            <w:tcW w:type="dxa" w:w="2880"/>
          </w:tcPr>
          <w:p>
            <w:r>
              <w:t>1.732</w:t>
            </w:r>
          </w:p>
        </w:tc>
      </w:tr>
      <w:tr>
        <w:tc>
          <w:tcPr>
            <w:tcW w:type="dxa" w:w="2880"/>
          </w:tcPr>
          <w:p>
            <w:r>
              <w:t>Bloqueado</w:t>
            </w:r>
          </w:p>
        </w:tc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excluído</w:t>
            </w:r>
          </w:p>
        </w:tc>
      </w:tr>
      <w:tr>
        <w:tc>
          <w:tcPr>
            <w:tcW w:type="dxa" w:w="2880"/>
          </w:tcPr>
          <w:p>
            <w:r>
              <w:t>Reprovado</w:t>
            </w:r>
          </w:p>
        </w:tc>
        <w:tc>
          <w:tcPr>
            <w:tcW w:type="dxa" w:w="2880"/>
          </w:tcPr>
          <w:p>
            <w:r>
              <w:t>698</w:t>
            </w:r>
          </w:p>
        </w:tc>
        <w:tc>
          <w:tcPr>
            <w:tcW w:type="dxa" w:w="2880"/>
          </w:tcPr>
          <w:p>
            <w:r>
              <w:t>excluído</w:t>
            </w:r>
          </w:p>
        </w:tc>
      </w:tr>
      <w:tr>
        <w:tc>
          <w:tcPr>
            <w:tcW w:type="dxa" w:w="2880"/>
          </w:tcPr>
          <w:p>
            <w:r>
              <w:t>Total válido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15.497</w:t>
            </w:r>
          </w:p>
        </w:tc>
      </w:tr>
    </w:tbl>
    <w:p/>
    <w:p>
      <w:r>
        <w:t>Fórmula: % ativos = 9.441 ÷ 15.497 = 60,92% ≈ 60,9%</w:t>
      </w:r>
    </w:p>
    <w:p>
      <w:r>
        <w:t>Balão: média ponderada (total ativos ÷ total cadastros)</w:t>
      </w:r>
    </w:p>
    <w:p>
      <w:r>
        <w:t>Gráfico: média simples dos percentuais regionais</w:t>
      </w:r>
    </w:p>
    <w:p/>
    <w:p>
      <w:pPr>
        <w:pStyle w:val="Heading1"/>
      </w:pPr>
      <w:r>
        <w:t>9. Cálculo de Treinamentos</w:t>
      </w:r>
    </w:p>
    <w:p>
      <w:pPr>
        <w:pStyle w:val="ListBullet"/>
      </w:pPr>
      <w:r>
        <w:rPr>
          <w:b/>
        </w:rPr>
        <w:t>Base</w:t>
      </w:r>
      <w:r>
        <w:t>: Apenas CPFs Ativos (9.441).</w:t>
      </w:r>
    </w:p>
    <w:p>
      <w:pPr>
        <w:pStyle w:val="ListBullet"/>
      </w:pPr>
      <w:r>
        <w:rPr>
          <w:b/>
        </w:rPr>
        <w:t>Cursos</w:t>
      </w:r>
      <w:r>
        <w:t>: Detecta automaticamente os 2 cursos obrigatórios do mês na Base_treinamentos.xlsx.</w:t>
      </w:r>
    </w:p>
    <w:p>
      <w:pPr>
        <w:pStyle w:val="ListBullet"/>
      </w:pPr>
      <w:r>
        <w:rPr>
          <w:b/>
        </w:rPr>
        <w:t>Contagem</w:t>
      </w:r>
      <w:r>
        <w:t>: Ativos que concluíram ambos os cursos no mês de referência.</w:t>
      </w:r>
    </w:p>
    <w:p>
      <w:pPr>
        <w:pStyle w:val="ListBullet"/>
      </w:pPr>
      <w:r>
        <w:rPr>
          <w:b/>
        </w:rPr>
        <w:t>Fórmula</w:t>
      </w:r>
      <w:r>
        <w:t>: % = ativos que fizeram ambos os cursos ÷ base ativa.</w:t>
      </w:r>
    </w:p>
    <w:p>
      <w:pPr>
        <w:pStyle w:val="ListBullet"/>
      </w:pPr>
      <w:r>
        <w:rPr>
          <w:b/>
        </w:rPr>
        <w:t>Revenda usada</w:t>
      </w:r>
      <w:r>
        <w:t>: Revenda do cadastro consolidado.</w:t>
      </w:r>
    </w:p>
    <w:p>
      <w:pPr>
        <w:pStyle w:val="Heading1"/>
      </w:pPr>
      <w:r>
        <w:t>10. Cálculo de Aceites</w:t>
      </w:r>
    </w:p>
    <w:p>
      <w:pPr>
        <w:pStyle w:val="ListBullet"/>
      </w:pPr>
      <w:r>
        <w:rPr>
          <w:b/>
        </w:rPr>
        <w:t>Fonte</w:t>
      </w:r>
      <w:r>
        <w:t>: Aba do mês atual do arquivo de aceites; se não existir, usa a última aba.</w:t>
      </w:r>
    </w:p>
    <w:p>
      <w:pPr>
        <w:pStyle w:val="ListBullet"/>
      </w:pPr>
      <w:r>
        <w:rPr>
          <w:b/>
        </w:rPr>
        <w:t>Base Ativa</w:t>
      </w:r>
      <w:r>
        <w:t>: CPFs Ativos agrupados pela revenda do cadastro consolidado.</w:t>
      </w:r>
    </w:p>
    <w:p>
      <w:pPr>
        <w:pStyle w:val="ListBullet"/>
      </w:pPr>
      <w:r>
        <w:rPr>
          <w:b/>
        </w:rPr>
        <w:t>Aceitaram</w:t>
      </w:r>
      <w:r>
        <w:t>: CPFs Ativos que fizeram aceite, agrupados pela revenda informada na PRÓPRIA base de aceites (coluna Revenda).</w:t>
      </w:r>
    </w:p>
    <w:p>
      <w:pPr>
        <w:pStyle w:val="ListBullet"/>
      </w:pPr>
      <w:r>
        <w:rPr>
          <w:b/>
        </w:rPr>
        <w:t>Não Aceitaram</w:t>
      </w:r>
      <w:r>
        <w:t>: Base Ativa − Aceitaram (não pode ser negativo).</w:t>
      </w:r>
    </w:p>
    <w:p>
      <w:pPr>
        <w:pStyle w:val="ListBullet"/>
      </w:pPr>
      <w:r>
        <w:rPr>
          <w:b/>
        </w:rPr>
        <w:t>Fórmula</w:t>
      </w:r>
      <w:r>
        <w:t>: % = Aceitaram ÷ Base Ativa.</w:t>
      </w:r>
    </w:p>
    <w:p>
      <w:pPr>
        <w:pStyle w:val="ListBullet"/>
      </w:pPr>
      <w:r>
        <w:rPr>
          <w:b/>
        </w:rPr>
        <w:t>Impacto</w:t>
      </w:r>
      <w:r>
        <w:t>: Se um CPF é ativo em uma revenda no cadastro, mas fez aceite em outra revenda na base de aceites, ele conta como Aceitaram na revenda da base de aceites e como Não Aceitaram na revenda do cadastro.</w:t>
      </w:r>
    </w:p>
    <w:p>
      <w:pPr>
        <w:pStyle w:val="Heading1"/>
      </w:pPr>
      <w:r>
        <w:t>11. Regras de destaque (Ranking / Parabéns)</w:t>
      </w:r>
    </w:p>
    <w:p>
      <w:pPr>
        <w:pStyle w:val="Heading1"/>
      </w:pPr>
    </w:p>
    <w:p>
      <w:pPr>
        <w:pStyle w:val="ListBullet"/>
      </w:pPr>
      <w:r>
        <w:rPr>
          <w:b/>
        </w:rPr>
        <w:t>Critério</w:t>
      </w:r>
      <w:r>
        <w:t>: Maior percentual entre as revendas.</w:t>
      </w:r>
    </w:p>
    <w:p>
      <w:pPr>
        <w:pStyle w:val="ListBullet"/>
      </w:pPr>
      <w:r>
        <w:rPr>
          <w:b/>
        </w:rPr>
        <w:t>Base mínima</w:t>
      </w:r>
      <w:r>
        <w:t>: REMOVIDA. Qualquer revenda, independente do tamanho da base, pode ser destacada.</w:t>
      </w:r>
    </w:p>
    <w:p>
      <w:pPr>
        <w:pStyle w:val="ListBullet"/>
      </w:pPr>
      <w:r>
        <w:rPr>
          <w:b/>
        </w:rPr>
        <w:t>Aplicação</w:t>
      </w:r>
      <w:r>
        <w:t>: Cadastros, Treinamentos e Aceites (tanto no geral quanto por regional).</w:t>
      </w:r>
    </w:p>
    <w:p>
      <w:pPr>
        <w:pStyle w:val="Heading1"/>
      </w:pPr>
      <w:r>
        <w:t>12. Regras de alerta (revendas abaixo da média)</w:t>
      </w:r>
    </w:p>
    <w:p>
      <w:pPr>
        <w:pStyle w:val="ListBullet"/>
      </w:pPr>
      <w:r>
        <w:rPr>
          <w:b/>
        </w:rPr>
        <w:t>Cadastros</w:t>
      </w:r>
      <w:r>
        <w:t>: Revendas com % de base ativa abaixo da média do programa.</w:t>
      </w:r>
    </w:p>
    <w:p>
      <w:pPr>
        <w:pStyle w:val="ListBullet"/>
      </w:pPr>
      <w:r>
        <w:rPr>
          <w:b/>
        </w:rPr>
        <w:t>Treinamentos</w:t>
      </w:r>
      <w:r>
        <w:t>: Revendas com % de treinamentos abaixo da média.</w:t>
      </w:r>
    </w:p>
    <w:p>
      <w:pPr>
        <w:pStyle w:val="ListBullet"/>
      </w:pPr>
      <w:r>
        <w:rPr>
          <w:b/>
        </w:rPr>
        <w:t>Aceites</w:t>
      </w:r>
      <w:r>
        <w:t>: Revendas com % de aceite abaixo da média.</w:t>
      </w:r>
    </w:p>
    <w:p>
      <w:pPr>
        <w:pStyle w:val="ListBullet"/>
      </w:pPr>
      <w:r>
        <w:rPr>
          <w:b/>
        </w:rPr>
        <w:t>Média usada</w:t>
      </w:r>
      <w:r>
        <w:t>: Média simples dos percentuais regionais/revendas.</w:t>
      </w:r>
    </w:p>
    <w:p>
      <w:pPr>
        <w:pStyle w:val="Heading1"/>
      </w:pPr>
      <w:r>
        <w:t>13. Envio de e-mail</w:t>
      </w:r>
    </w:p>
    <w:p>
      <w:pPr>
        <w:pStyle w:val="ListBullet"/>
      </w:pPr>
      <w:r>
        <w:rPr>
          <w:b/>
        </w:rPr>
        <w:t>Modo teste</w:t>
      </w:r>
      <w:r>
        <w:t>: --teste gera relatório local sem enviar e-mail.</w:t>
      </w:r>
    </w:p>
    <w:p>
      <w:pPr>
        <w:pStyle w:val="ListBullet"/>
      </w:pPr>
      <w:r>
        <w:rPr>
          <w:b/>
        </w:rPr>
        <w:t>Modo produção</w:t>
      </w:r>
      <w:r>
        <w:t>: Envia e-mail consolidado para destinatários configurados em config_email.json.</w:t>
      </w:r>
    </w:p>
    <w:p>
      <w:pPr>
        <w:pStyle w:val="ListBullet"/>
      </w:pPr>
      <w:r>
        <w:rPr>
          <w:b/>
        </w:rPr>
        <w:t>Envio por regional</w:t>
      </w:r>
      <w:r>
        <w:t>: Desabilitado na configuração atual (destinatarios_regionais: false).</w:t>
      </w:r>
    </w:p>
    <w:p>
      <w:pPr>
        <w:pStyle w:val="Heading1"/>
      </w:pPr>
      <w:r>
        <w:t>14. Outras regras importantes</w:t>
      </w:r>
    </w:p>
    <w:p>
      <w:pPr>
        <w:pStyle w:val="ListBullet"/>
      </w:pPr>
      <w:r>
        <w:rPr>
          <w:b/>
        </w:rPr>
        <w:t>Último mês</w:t>
      </w:r>
      <w:r>
        <w:t>: Definido pela última data disponível na base de vendas, não pelo mês atual do calendário.</w:t>
      </w:r>
    </w:p>
    <w:p>
      <w:pPr>
        <w:pStyle w:val="ListBullet"/>
      </w:pPr>
      <w:r>
        <w:rPr>
          <w:b/>
        </w:rPr>
        <w:t>Setembro/2025</w:t>
      </w:r>
      <w:r>
        <w:t>: Base inexistente — nunca interpolar ou estimar.</w:t>
      </w:r>
    </w:p>
    <w:p>
      <w:pPr>
        <w:pStyle w:val="ListBullet"/>
      </w:pPr>
      <w:r>
        <w:rPr>
          <w:b/>
        </w:rPr>
        <w:t>SUPERTOP</w:t>
      </w:r>
      <w:r>
        <w:t>: Campanha sazonal; nem todos os meses têm produtos.</w:t>
      </w:r>
    </w:p>
    <w:p>
      <w:pPr>
        <w:pStyle w:val="ListBullet"/>
      </w:pPr>
      <w:r>
        <w:rPr>
          <w:b/>
        </w:rPr>
        <w:t>CPF/CNPJ</w:t>
      </w:r>
      <w:r>
        <w:t>: Sempre tratado como texto para preservar zeros à esquerda.</w:t>
      </w:r>
    </w:p>
    <w:p>
      <w:r>
        <w:br w:type="page"/>
      </w:r>
    </w:p>
    <w:p>
      <w:pPr>
        <w:pStyle w:val="Heading1"/>
      </w:pPr>
      <w:r>
        <w:t>Histórico de alterações no GitHub</w:t>
      </w:r>
    </w:p>
    <w:p>
      <w:pPr>
        <w:pStyle w:val="ListBullet"/>
      </w:pPr>
      <w:r>
        <w:t>8bcec49 — usa revenda da base de aceites no cálculo de aceites</w:t>
      </w:r>
    </w:p>
    <w:p>
      <w:pPr>
        <w:pStyle w:val="ListBullet"/>
      </w:pPr>
      <w:r>
        <w:t>2e3283c — remove regra de base mínima dos destaques</w:t>
      </w:r>
    </w:p>
    <w:p>
      <w:pPr>
        <w:pStyle w:val="ListBullet"/>
      </w:pPr>
      <w:r>
        <w:t>267ebf6 — adiciona coluna Regional na base consolidada</w:t>
      </w:r>
    </w:p>
    <w:p>
      <w:pPr>
        <w:pStyle w:val="ListBullet"/>
      </w:pPr>
      <w:r>
        <w:t>e640c9a — adiciona documento de regras de negócio para validação</w:t>
      </w:r>
    </w:p>
    <w:p>
      <w:pPr>
        <w:pStyle w:val="ListBullet"/>
      </w:pPr>
      <w:r>
        <w:t>a914783 — adiciona resumo das regras de cálculo em docx</w:t>
      </w:r>
    </w:p>
    <w:p>
      <w:pPr>
        <w:pStyle w:val="ListBullet"/>
      </w:pPr>
      <w:r>
        <w:t>1c1b416 — volta regra dos 90 dias apenas para Pré-Cadastrado</w:t>
      </w:r>
    </w:p>
    <w:p>
      <w:pPr>
        <w:pStyle w:val="ListBullet"/>
      </w:pPr>
      <w:r>
        <w:t>ce75bef — aplica regra dos 90 dias também para Indicado Moderado (revertido)</w:t>
      </w:r>
    </w:p>
    <w:p>
      <w:pPr>
        <w:pStyle w:val="ListBullet"/>
      </w:pPr>
      <w:r>
        <w:t>65421d2 — atualiza base consolidada com status dos 1.646 CPFs vazios</w:t>
      </w:r>
    </w:p>
    <w:p>
      <w:pPr>
        <w:pStyle w:val="ListBullet"/>
      </w:pPr>
      <w:r>
        <w:t>bd5ffa0 — usa consolidado_hierarquia_com_cadastro_site como base de cadastros</w:t>
      </w:r>
    </w:p>
    <w:p>
      <w:pPr>
        <w:pStyle w:val="ListBullet"/>
      </w:pPr>
      <w:r>
        <w:t>df14dba — ajusta layout do email semanal e adiciona scripts de validação</w:t>
      </w:r>
    </w:p>
    <w:p/>
    <w:p>
      <w:r>
        <w:t>Branch: feature/automacao-download-teste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