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>Emilio</w:t>
      </w:r>
      <w:r>
        <w:t xml:space="preserve"> </w:t>
      </w:r>
      <w:r>
        <w:t xml:space="preserve">Akira</w:t>
      </w:r>
      <w:r>
        <w:t xml:space="preserve"> </w:t>
      </w:r>
      <w:r>
        <w:t xml:space="preserve">Morones</w:t>
      </w:r>
      <w:r>
        <w:t xml:space="preserve"> </w:t>
      </w:r>
      <w:r>
        <w:t xml:space="preserve">Ishikawa</w:t>
      </w:r>
    </w:p>
    <w:p>
      <w:pPr>
        <w:pStyle w:val="Date"/>
      </w:pPr>
      <w:r>
        <w:t xml:space="preserve">7/22/2020</w:t>
      </w:r>
    </w:p>
    <w:p>
      <w:pPr>
        <w:pStyle w:val="FirstParagraph"/>
      </w:pPr>
      <w:r>
        <w:t xml:space="preserve">Studying COVID-19, there is part of the infected population that cured and another part that experimented with the failure. The survival models that include a cure fraction are called cure rate models. Mostly, these methods are rooted to two main formulations: the mixture cure rate model of</w:t>
      </w:r>
      <w:r>
        <w:t xml:space="preserve"> </w:t>
      </w:r>
      <w:r>
        <w:t xml:space="preserve">(Berkson and Gage 1952)</w:t>
      </w:r>
      <w:r>
        <w:t xml:space="preserve"> </w:t>
      </w:r>
      <w:r>
        <w:t xml:space="preserve">and the proportional hazards cure rate model of Yakovlev &amp; Tsodikov that was studied by Chen et al in a Bayesian context</w:t>
      </w:r>
      <w:r>
        <w:t xml:space="preserve"> </w:t>
      </w:r>
      <w:r>
        <w:t xml:space="preserve"># Description of the method</w:t>
      </w:r>
    </w:p>
    <w:p>
      <w:pPr>
        <w:pStyle w:val="Heading1"/>
      </w:pPr>
      <w:bookmarkStart w:id="20" w:name="description-of-the-data"/>
      <w:r>
        <w:t xml:space="preserve">Description of the data</w:t>
      </w:r>
      <w:bookmarkEnd w:id="20"/>
    </w:p>
    <w:p>
      <w:pPr>
        <w:pStyle w:val="Heading1"/>
      </w:pPr>
      <w:bookmarkStart w:id="21" w:name="results"/>
      <w:r>
        <w:t xml:space="preserve">Results</w:t>
      </w:r>
      <w:bookmarkEnd w:id="21"/>
    </w:p>
    <w:p>
      <w:pPr>
        <w:pStyle w:val="Heading1"/>
      </w:pPr>
      <w:bookmarkStart w:id="22" w:name="discussion"/>
      <w:r>
        <w:t xml:space="preserve">Discussion</w:t>
      </w:r>
      <w:bookmarkEnd w:id="22"/>
    </w:p>
    <w:bookmarkStart w:id="25" w:name="refs"/>
    <w:bookmarkStart w:id="24" w:name="ref-Berkson1952"/>
    <w:p>
      <w:pPr>
        <w:pStyle w:val="Bibliography"/>
      </w:pPr>
      <w:r>
        <w:t xml:space="preserve">Berkson, Joseph, and Robert P. Gage. 1952. “Survival Curve for Cancer Patients Following Treatment.”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47: 501–15.</w:t>
      </w:r>
      <w:r>
        <w:t xml:space="preserve"> </w:t>
      </w:r>
      <w:hyperlink r:id="rId23">
        <w:r>
          <w:rPr>
            <w:rStyle w:val="Hyperlink"/>
          </w:rPr>
          <w:t xml:space="preserve">https://doi.org/10.1080/01621459.1952.10501187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0/01621459.1952.1050118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80/01621459.1952.105011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>Emilio Akira Morones Ishikawa</dc:creator>
  <cp:keywords/>
  <dcterms:created xsi:type="dcterms:W3CDTF">2020-07-23T01:25:55Z</dcterms:created>
  <dcterms:modified xsi:type="dcterms:W3CDTF">2020-07-23T01:25:55Z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7/22/2020</vt:lpwstr>
  </property>
  <property fmtid="{D5CDD505-2E9C-101B-9397-08002B2CF9AE}" pid="4" name="output">
    <vt:lpwstr/>
  </property>
</Properties>
</file>