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can Energy tax reforms/simulation, which involve taxing fossil fuels or energy consumption, have a complex impact on a country's Gross Domestic Product (GDP), it might be 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potentially leading to both revenue gains and economic adjustments</w:t>
      </w:r>
      <w:r w:rsidDel="00000000" w:rsidR="00000000" w:rsidRPr="00000000">
        <w:rPr>
          <w:sz w:val="36"/>
          <w:szCs w:val="36"/>
          <w:rtl w:val="0"/>
        </w:rPr>
        <w:t xml:space="preserve">? 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Assumption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Baseline Energy Tax Rates (Initial, before reform) per industry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baseline_tariffs =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"Agriculture and Fishing": 0.05,  # 5%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"Mining": 0.10,  # 10%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"Utilities": 0.15,  # 15%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"Construction": 0.07,  # 7%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"Trade and Transport": 0.12,  # 12%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"Services": 0.03,  # 3%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"Manufacturing": 0.14  # 14%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Proposed Energy Tax Reform Rates (Higher for energy-intensive industries)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reform_tariffs =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"Agriculture and Fishing": 0.08,  # 8%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"Mining": 0.18,  # 18%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"Utilities": 0.22,  # 22%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"Construction": 0.10,  # 10%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"Trade and Transport": 0.17,  # 17%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"Services": 0.05,  # 5%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"Manufacturing": 0.20  # 20%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Economic Variables (Initial Values, Assumed)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GDP = 1000  # Baseline GDP in billion $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consumption = 600  # Household Consumption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investment = 250  # Capital Investment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total_tax_revenue = 200  # Total tax collected before reform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2e984ed0f68fcd7dc189f908c1436e1bfad814ceadb72c33f6139b8286e12a69</vt:lpwstr>
  </property>
</Properties>
</file>