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4"/>
          <w:szCs w:val="24"/>
          <w:lang w:val="en-GB"/>
        </w:rPr>
        <w:id w:val="-153232447"/>
        <w:docPartObj>
          <w:docPartGallery w:val="Cover Pages"/>
          <w:docPartUnique/>
        </w:docPartObj>
      </w:sdtPr>
      <w:sdtEndPr/>
      <w:sdtContent>
        <w:p w14:paraId="4B5FEC85" w14:textId="43C86F9F" w:rsidR="002723FE" w:rsidRPr="0023470D" w:rsidRDefault="002723FE">
          <w:pPr>
            <w:rPr>
              <w:b/>
              <w:sz w:val="24"/>
              <w:szCs w:val="24"/>
              <w:lang w:val="en-GB"/>
            </w:rPr>
          </w:pPr>
          <w:r w:rsidRPr="0023470D">
            <w:rPr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21C2F" wp14:editId="6904809E">
                    <wp:simplePos x="0" y="0"/>
                    <wp:positionH relativeFrom="page">
                      <wp:posOffset>278451</wp:posOffset>
                    </wp:positionH>
                    <wp:positionV relativeFrom="page">
                      <wp:posOffset>1142051</wp:posOffset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929"/>
                                  <w:gridCol w:w="3577"/>
                                </w:tblGrid>
                                <w:tr w:rsidR="00F972AF" w14:paraId="4245672D" w14:textId="77777777" w:rsidTr="00945FC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88" w:type="pct"/>
                                      <w:vAlign w:val="center"/>
                                    </w:tcPr>
                                    <w:p w14:paraId="2A1F2FF7" w14:textId="5CB48E9C" w:rsidR="00F972AF" w:rsidRDefault="00F00541">
                                      <w:pPr>
                                        <w:jc w:val="right"/>
                                      </w:pPr>
                                      <w:r w:rsidRPr="0027788D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5CFDD54" wp14:editId="626A8D25">
                                            <wp:extent cx="4578220" cy="2575249"/>
                                            <wp:effectExtent l="0" t="0" r="0" b="0"/>
                                            <wp:docPr id="4" name="Imagen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n 3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578220" cy="25752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mbria" w:eastAsia="MS Mincho" w:hAnsi="Cambria" w:cs="Arial"/>
                                          <w:b/>
                                          <w:color w:val="1F497D"/>
                                          <w:sz w:val="40"/>
                                          <w:szCs w:val="40"/>
                                          <w:lang w:eastAsia="ja-JP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97FE170" w14:textId="1C280DC0" w:rsidR="00F972AF" w:rsidRPr="002723FE" w:rsidRDefault="00F972A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U</w:t>
                                          </w:r>
                                          <w:r w:rsidRPr="00851E94"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nderstandin</w:t>
                                          </w:r>
                                          <w:r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g M</w:t>
                                          </w:r>
                                          <w:r w:rsidRPr="00851E94"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 xml:space="preserve">odelling </w:t>
                                          </w:r>
                                          <w:r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T</w:t>
                                          </w:r>
                                          <w:r w:rsidRPr="00851E94"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 xml:space="preserve">ools for </w:t>
                                          </w:r>
                                          <w:r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S</w:t>
                                          </w:r>
                                          <w:r w:rsidRPr="00851E94">
                                            <w:rPr>
                                              <w:rFonts w:ascii="Cambria" w:eastAsia="MS Mincho" w:hAnsi="Cambria" w:cs="Arial"/>
                                              <w:b/>
                                              <w:color w:val="1F497D"/>
                                              <w:sz w:val="40"/>
                                              <w:szCs w:val="40"/>
                                              <w:lang w:eastAsia="ja-JP"/>
                                            </w:rPr>
                                            <w:t>ustainable Development</w:t>
                                          </w:r>
                                        </w:p>
                                      </w:sdtContent>
                                    </w:sdt>
                                    <w:p w14:paraId="09F83CD7" w14:textId="1F356B6A" w:rsidR="00F972AF" w:rsidRPr="00A4312A" w:rsidRDefault="00F972A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012" w:type="pct"/>
                                      <w:vAlign w:val="center"/>
                                    </w:tcPr>
                                    <w:p w14:paraId="14034ABB" w14:textId="26DD2C79" w:rsidR="00F972AF" w:rsidRDefault="00F972AF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51E94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Module</w:t>
                                      </w:r>
                                      <w:r w:rsidR="009D3D6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  <w:p w14:paraId="1342AB99" w14:textId="16D3A952" w:rsidR="00F972AF" w:rsidRDefault="00CC675C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CLEWS </w:t>
                                      </w:r>
                                      <w:r w:rsidR="00F00541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Country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 Model</w:t>
                                      </w:r>
                                      <w:r w:rsidR="007A5F98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: A</w:t>
                                      </w:r>
                                    </w:p>
                                    <w:p w14:paraId="6DB7EFBB" w14:textId="77777777" w:rsidR="008B3640" w:rsidRDefault="008B3640" w:rsidP="008B3640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LEARNING GUIDE</w:t>
                                      </w:r>
                                    </w:p>
                                    <w:p w14:paraId="3A7676CA" w14:textId="77777777" w:rsidR="008B3640" w:rsidRPr="00735266" w:rsidRDefault="008B3640">
                                      <w:pPr>
                                        <w:pStyle w:val="NoSpacing"/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Cambria" w:hAnsi="Cambria"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FBDB57D" w14:textId="51135EAB" w:rsidR="00F972AF" w:rsidRPr="00735266" w:rsidRDefault="007A5F98">
                                          <w:pPr>
                                            <w:rPr>
                                              <w:rFonts w:asciiTheme="majorHAnsi" w:hAnsiTheme="majorHAnsi"/>
                                              <w:color w:val="1F497D" w:themeColor="tex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color w:val="1F497D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Assessing </w:t>
                                          </w:r>
                                          <w:r w:rsidR="00AD331C">
                                            <w:rPr>
                                              <w:rFonts w:ascii="Cambria" w:hAnsi="Cambria"/>
                                              <w:color w:val="1F497D" w:themeColor="text2"/>
                                              <w:sz w:val="28"/>
                                              <w:szCs w:val="28"/>
                                            </w:rPr>
                                            <w:t>Climate, Land</w:t>
                                          </w:r>
                                          <w:r w:rsidR="00F00541">
                                            <w:rPr>
                                              <w:rFonts w:ascii="Cambria" w:hAnsi="Cambria"/>
                                              <w:color w:val="1F497D" w:themeColor="text2"/>
                                              <w:sz w:val="28"/>
                                              <w:szCs w:val="28"/>
                                            </w:rPr>
                                            <w:t>,</w:t>
                                          </w:r>
                                          <w:r w:rsidR="00AD331C">
                                            <w:rPr>
                                              <w:rFonts w:ascii="Cambria" w:hAnsi="Cambria"/>
                                              <w:color w:val="1F497D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 Energy and Water Strategies</w:t>
                                          </w:r>
                                        </w:p>
                                      </w:sdtContent>
                                    </w:sdt>
                                    <w:p w14:paraId="2BE8835C" w14:textId="232F9C6F" w:rsidR="00F972AF" w:rsidRPr="002723FE" w:rsidRDefault="00F972AF">
                                      <w:pPr>
                                        <w:pStyle w:val="NoSpacing"/>
                                        <w:rPr>
                                          <w:color w:val="1F497D" w:themeColor="tex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2041925" w14:textId="2363E82F" w:rsidR="00F972AF" w:rsidRDefault="00F972A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B93EECE" w14:textId="77777777" w:rsidR="00F972AF" w:rsidRDefault="00F972A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A921C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21.95pt;margin-top:89.9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929"/>
                            <w:gridCol w:w="3577"/>
                          </w:tblGrid>
                          <w:tr w:rsidR="00F972AF" w14:paraId="4245672D" w14:textId="77777777" w:rsidTr="00945FCB">
                            <w:trPr>
                              <w:jc w:val="center"/>
                            </w:trPr>
                            <w:tc>
                              <w:tcPr>
                                <w:tcW w:w="2988" w:type="pct"/>
                                <w:vAlign w:val="center"/>
                              </w:tcPr>
                              <w:p w14:paraId="2A1F2FF7" w14:textId="5CB48E9C" w:rsidR="00F972AF" w:rsidRDefault="00F00541">
                                <w:pPr>
                                  <w:jc w:val="right"/>
                                </w:pPr>
                                <w:r w:rsidRPr="0027788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CFDD54" wp14:editId="626A8D25">
                                      <wp:extent cx="4578220" cy="2575249"/>
                                      <wp:effectExtent l="0" t="0" r="0" b="0"/>
                                      <wp:docPr id="4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n 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78220" cy="25752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mbria" w:eastAsia="MS Mincho" w:hAnsi="Cambria" w:cs="Arial"/>
                                    <w:b/>
                                    <w:color w:val="1F497D"/>
                                    <w:sz w:val="40"/>
                                    <w:szCs w:val="40"/>
                                    <w:lang w:eastAsia="ja-JP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7FE170" w14:textId="1C280DC0" w:rsidR="00F972AF" w:rsidRPr="002723FE" w:rsidRDefault="00F972A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U</w:t>
                                    </w:r>
                                    <w:r w:rsidRPr="00851E94"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nderstandin</w:t>
                                    </w:r>
                                    <w:r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g M</w:t>
                                    </w:r>
                                    <w:r w:rsidRPr="00851E94"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 xml:space="preserve">odelling </w:t>
                                    </w:r>
                                    <w:r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T</w:t>
                                    </w:r>
                                    <w:r w:rsidRPr="00851E94"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 xml:space="preserve">ools for </w:t>
                                    </w:r>
                                    <w:r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S</w:t>
                                    </w:r>
                                    <w:r w:rsidRPr="00851E94">
                                      <w:rPr>
                                        <w:rFonts w:ascii="Cambria" w:eastAsia="MS Mincho" w:hAnsi="Cambria" w:cs="Arial"/>
                                        <w:b/>
                                        <w:color w:val="1F497D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ustainable Development</w:t>
                                    </w:r>
                                  </w:p>
                                </w:sdtContent>
                              </w:sdt>
                              <w:p w14:paraId="09F83CD7" w14:textId="1F356B6A" w:rsidR="00F972AF" w:rsidRPr="00A4312A" w:rsidRDefault="00F972A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12" w:type="pct"/>
                                <w:vAlign w:val="center"/>
                              </w:tcPr>
                              <w:p w14:paraId="14034ABB" w14:textId="26DD2C79" w:rsidR="00F972AF" w:rsidRDefault="00F972AF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851E94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Module</w:t>
                                </w:r>
                                <w:r w:rsidR="009D3D6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1342AB99" w14:textId="16D3A952" w:rsidR="00F972AF" w:rsidRDefault="00CC675C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CLEWS </w:t>
                                </w:r>
                                <w:r w:rsidR="00F00541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Country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 Model</w:t>
                                </w:r>
                                <w:r w:rsidR="007A5F98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: A</w:t>
                                </w:r>
                              </w:p>
                              <w:p w14:paraId="6DB7EFBB" w14:textId="77777777" w:rsidR="008B3640" w:rsidRDefault="008B3640" w:rsidP="008B3640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LEARNING GUIDE</w:t>
                                </w:r>
                              </w:p>
                              <w:p w14:paraId="3A7676CA" w14:textId="77777777" w:rsidR="008B3640" w:rsidRPr="00735266" w:rsidRDefault="008B3640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FBDB57D" w14:textId="51135EAB" w:rsidR="00F972AF" w:rsidRPr="00735266" w:rsidRDefault="007A5F98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 xml:space="preserve">Assessing </w:t>
                                    </w:r>
                                    <w:r w:rsidR="00AD331C">
                                      <w:rPr>
                                        <w:rFonts w:ascii="Cambria" w:hAnsi="Cambria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Climate, Land</w:t>
                                    </w:r>
                                    <w:r w:rsidR="00F00541">
                                      <w:rPr>
                                        <w:rFonts w:ascii="Cambria" w:hAnsi="Cambria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 w:rsidR="00AD331C">
                                      <w:rPr>
                                        <w:rFonts w:ascii="Cambria" w:hAnsi="Cambria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 xml:space="preserve"> Energy and Water Strategies</w:t>
                                    </w:r>
                                  </w:p>
                                </w:sdtContent>
                              </w:sdt>
                              <w:p w14:paraId="2BE8835C" w14:textId="232F9C6F" w:rsidR="00F972AF" w:rsidRPr="002723FE" w:rsidRDefault="00F972AF">
                                <w:pPr>
                                  <w:pStyle w:val="NoSpacing"/>
                                  <w:rPr>
                                    <w:color w:val="1F497D" w:themeColor="tex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2041925" w14:textId="2363E82F" w:rsidR="00F972AF" w:rsidRDefault="00F972AF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B93EECE" w14:textId="77777777" w:rsidR="00F972AF" w:rsidRDefault="00F972A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3470D">
            <w:rPr>
              <w:b/>
              <w:sz w:val="24"/>
              <w:szCs w:val="24"/>
              <w:lang w:val="en-GB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en-GB"/>
        </w:rPr>
        <w:id w:val="-191221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466BA" w14:textId="13DC14AD" w:rsidR="00440FC5" w:rsidRPr="0023470D" w:rsidRDefault="00945FCB">
          <w:pPr>
            <w:pStyle w:val="TOCHeading"/>
            <w:rPr>
              <w:rFonts w:asciiTheme="majorHAnsi" w:hAnsiTheme="majorHAnsi"/>
              <w:b/>
              <w:sz w:val="28"/>
              <w:szCs w:val="28"/>
              <w:lang w:val="en-GB"/>
            </w:rPr>
          </w:pPr>
          <w:r w:rsidRPr="0023470D">
            <w:rPr>
              <w:rFonts w:asciiTheme="majorHAnsi" w:hAnsiTheme="majorHAnsi"/>
              <w:b/>
              <w:caps w:val="0"/>
              <w:spacing w:val="0"/>
              <w:sz w:val="28"/>
              <w:szCs w:val="28"/>
              <w:lang w:val="en-GB"/>
            </w:rPr>
            <w:t>TABLE OF CONTENTS</w:t>
          </w:r>
        </w:p>
        <w:p w14:paraId="21C6D550" w14:textId="0B35307E" w:rsidR="00750994" w:rsidRPr="00750994" w:rsidRDefault="00440FC5">
          <w:pPr>
            <w:pStyle w:val="TOC1"/>
            <w:tabs>
              <w:tab w:val="right" w:leader="dot" w:pos="9350"/>
            </w:tabs>
            <w:rPr>
              <w:rFonts w:ascii="Cambria" w:hAnsi="Cambria"/>
              <w:noProof/>
              <w:sz w:val="24"/>
              <w:szCs w:val="24"/>
              <w:lang w:val="es-MX" w:eastAsia="es-MX"/>
            </w:rPr>
          </w:pPr>
          <w:r w:rsidRPr="0023470D">
            <w:rPr>
              <w:lang w:val="en-GB"/>
            </w:rPr>
            <w:fldChar w:fldCharType="begin"/>
          </w:r>
          <w:r w:rsidRPr="0023470D">
            <w:rPr>
              <w:lang w:val="en-GB"/>
            </w:rPr>
            <w:instrText xml:space="preserve"> TOC \o "1-3" \h \z \u </w:instrText>
          </w:r>
          <w:r w:rsidRPr="0023470D">
            <w:rPr>
              <w:lang w:val="en-GB"/>
            </w:rPr>
            <w:fldChar w:fldCharType="separate"/>
          </w:r>
          <w:hyperlink w:anchor="_Toc478461724" w:history="1">
            <w:r w:rsidR="00750994" w:rsidRPr="00750994">
              <w:rPr>
                <w:rStyle w:val="Hyperlink"/>
                <w:rFonts w:ascii="Cambria" w:hAnsi="Cambria"/>
                <w:noProof/>
                <w:sz w:val="24"/>
                <w:szCs w:val="24"/>
                <w:lang w:val="en-GB"/>
              </w:rPr>
              <w:t>Introduction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_Toc478461724 \h </w:instrTex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>2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223AB" w14:textId="493E14F5" w:rsidR="00750994" w:rsidRPr="00750994" w:rsidRDefault="000F0F32">
          <w:pPr>
            <w:pStyle w:val="TOC1"/>
            <w:tabs>
              <w:tab w:val="right" w:leader="dot" w:pos="9350"/>
            </w:tabs>
            <w:rPr>
              <w:rFonts w:ascii="Cambria" w:hAnsi="Cambria"/>
              <w:noProof/>
              <w:sz w:val="24"/>
              <w:szCs w:val="24"/>
              <w:lang w:val="es-MX" w:eastAsia="es-MX"/>
            </w:rPr>
          </w:pPr>
          <w:hyperlink w:anchor="_Toc478461725" w:history="1">
            <w:r w:rsidR="007A5F98">
              <w:rPr>
                <w:rStyle w:val="Hyperlink"/>
                <w:rFonts w:ascii="Cambria" w:eastAsia="Cambria" w:hAnsi="Cambria" w:cs="Cambria"/>
                <w:noProof/>
                <w:sz w:val="24"/>
                <w:szCs w:val="24"/>
              </w:rPr>
              <w:t>Module:</w:t>
            </w:r>
            <w:r w:rsidR="00750994" w:rsidRPr="00750994">
              <w:rPr>
                <w:rStyle w:val="Hyperlink"/>
                <w:rFonts w:ascii="Cambria" w:eastAsia="Cambria" w:hAnsi="Cambria" w:cs="Cambria"/>
                <w:noProof/>
                <w:sz w:val="24"/>
                <w:szCs w:val="24"/>
              </w:rPr>
              <w:t xml:space="preserve"> CLEWS Country Model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_Toc478461725 \h </w:instrTex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F4D82" w14:textId="4C84D926" w:rsidR="00750994" w:rsidRPr="00750994" w:rsidRDefault="000F0F32">
          <w:pPr>
            <w:pStyle w:val="TOC2"/>
            <w:tabs>
              <w:tab w:val="right" w:leader="dot" w:pos="9350"/>
            </w:tabs>
            <w:rPr>
              <w:rFonts w:ascii="Cambria" w:hAnsi="Cambria"/>
              <w:noProof/>
              <w:sz w:val="24"/>
              <w:szCs w:val="24"/>
              <w:lang w:val="es-MX" w:eastAsia="es-MX"/>
            </w:rPr>
          </w:pPr>
          <w:hyperlink w:anchor="_Toc478461726" w:history="1">
            <w:r w:rsidR="00750994" w:rsidRPr="00750994">
              <w:rPr>
                <w:rStyle w:val="Hyperlink"/>
                <w:rFonts w:ascii="Cambria" w:eastAsia="Cambria" w:hAnsi="Cambria" w:cs="Cambria"/>
                <w:noProof/>
                <w:sz w:val="24"/>
                <w:szCs w:val="24"/>
              </w:rPr>
              <w:t>Learning Objectives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_Toc478461726 \h </w:instrTex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D4DC5" w14:textId="7DA8D239" w:rsidR="00750994" w:rsidRPr="00750994" w:rsidRDefault="000F0F32">
          <w:pPr>
            <w:pStyle w:val="TOC2"/>
            <w:tabs>
              <w:tab w:val="right" w:leader="dot" w:pos="9350"/>
            </w:tabs>
            <w:rPr>
              <w:rFonts w:ascii="Cambria" w:hAnsi="Cambria"/>
              <w:noProof/>
              <w:sz w:val="24"/>
              <w:szCs w:val="24"/>
              <w:lang w:val="es-MX" w:eastAsia="es-MX"/>
            </w:rPr>
          </w:pPr>
          <w:hyperlink w:anchor="_Toc478461727" w:history="1">
            <w:r w:rsidR="00750994" w:rsidRPr="00750994">
              <w:rPr>
                <w:rStyle w:val="Hyperlink"/>
                <w:rFonts w:ascii="Cambria" w:eastAsia="Cambria" w:hAnsi="Cambria" w:cs="Cambria"/>
                <w:noProof/>
                <w:sz w:val="24"/>
                <w:szCs w:val="24"/>
              </w:rPr>
              <w:t>Workshop Schedule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_Toc478461727 \h </w:instrTex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7D345D" w14:textId="0CBD9678" w:rsidR="00750994" w:rsidRDefault="000F0F3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s-MX" w:eastAsia="es-MX"/>
            </w:rPr>
          </w:pPr>
          <w:hyperlink w:anchor="_Toc478461728" w:history="1">
            <w:r w:rsidR="00750994" w:rsidRPr="00750994">
              <w:rPr>
                <w:rStyle w:val="Hyperlink"/>
                <w:rFonts w:ascii="Cambria" w:hAnsi="Cambria"/>
                <w:noProof/>
                <w:sz w:val="24"/>
                <w:szCs w:val="24"/>
                <w:lang w:val="en-GB"/>
              </w:rPr>
              <w:t>References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_Toc478461728 \h </w:instrTex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750994" w:rsidRPr="0075099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5C683" w14:textId="7DE3A892" w:rsidR="00440FC5" w:rsidRPr="0023470D" w:rsidRDefault="00440FC5">
          <w:pPr>
            <w:rPr>
              <w:lang w:val="en-GB"/>
            </w:rPr>
          </w:pPr>
          <w:r w:rsidRPr="0023470D">
            <w:rPr>
              <w:b/>
              <w:bCs/>
              <w:lang w:val="en-GB"/>
            </w:rPr>
            <w:fldChar w:fldCharType="end"/>
          </w:r>
        </w:p>
      </w:sdtContent>
    </w:sdt>
    <w:p w14:paraId="62CF118D" w14:textId="04D3BF61" w:rsidR="00AA7770" w:rsidRDefault="00AA7770">
      <w:pPr>
        <w:rPr>
          <w:lang w:val="en-GB"/>
        </w:rPr>
      </w:pPr>
      <w:r>
        <w:rPr>
          <w:lang w:val="en-GB"/>
        </w:rPr>
        <w:br w:type="page"/>
      </w:r>
    </w:p>
    <w:p w14:paraId="3A2C93A3" w14:textId="77777777" w:rsidR="00AA7770" w:rsidRPr="00F376B3" w:rsidRDefault="00AA7770" w:rsidP="00AA7770">
      <w:pPr>
        <w:pStyle w:val="Heading1"/>
        <w:rPr>
          <w:rStyle w:val="Strong"/>
          <w:rFonts w:asciiTheme="majorHAnsi" w:hAnsiTheme="majorHAnsi"/>
          <w:sz w:val="28"/>
          <w:szCs w:val="28"/>
          <w:lang w:val="en-GB"/>
        </w:rPr>
      </w:pPr>
      <w:bookmarkStart w:id="0" w:name="_Toc433984476"/>
      <w:bookmarkStart w:id="1" w:name="_Toc439084769"/>
      <w:bookmarkStart w:id="2" w:name="_Toc466476730"/>
      <w:bookmarkStart w:id="3" w:name="_Toc468533859"/>
      <w:bookmarkStart w:id="4" w:name="_Toc471410658"/>
      <w:bookmarkStart w:id="5" w:name="_Toc478461724"/>
      <w:r w:rsidRPr="00F376B3">
        <w:rPr>
          <w:rStyle w:val="Strong"/>
          <w:rFonts w:asciiTheme="majorHAnsi" w:hAnsiTheme="majorHAnsi"/>
          <w:sz w:val="28"/>
          <w:szCs w:val="28"/>
          <w:lang w:val="en-GB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r w:rsidRPr="00F376B3">
        <w:rPr>
          <w:rStyle w:val="Strong"/>
          <w:rFonts w:asciiTheme="majorHAnsi" w:hAnsiTheme="majorHAnsi"/>
          <w:sz w:val="28"/>
          <w:szCs w:val="28"/>
          <w:lang w:val="en-GB"/>
        </w:rPr>
        <w:t xml:space="preserve"> </w:t>
      </w:r>
    </w:p>
    <w:p w14:paraId="4CF3DFF9" w14:textId="77777777" w:rsidR="007A5F98" w:rsidRPr="0099103B" w:rsidRDefault="007A5F98" w:rsidP="007A5F98">
      <w:pPr>
        <w:spacing w:line="360" w:lineRule="auto"/>
        <w:rPr>
          <w:rFonts w:asciiTheme="majorHAnsi" w:hAnsiTheme="majorHAnsi"/>
          <w:sz w:val="24"/>
          <w:szCs w:val="24"/>
          <w:lang w:val="en-GB"/>
        </w:rPr>
      </w:pPr>
      <w:bookmarkStart w:id="6" w:name="_Toc433984477"/>
      <w:bookmarkStart w:id="7" w:name="_Toc439084770"/>
      <w:bookmarkStart w:id="8" w:name="_Toc466476731"/>
      <w:bookmarkStart w:id="9" w:name="_Toc468533860"/>
      <w:r w:rsidRPr="0099103B">
        <w:rPr>
          <w:rFonts w:asciiTheme="majorHAnsi" w:hAnsiTheme="majorHAnsi"/>
          <w:sz w:val="24"/>
          <w:szCs w:val="24"/>
          <w:lang w:val="en-GB"/>
        </w:rPr>
        <w:t xml:space="preserve">The 2030 Agenda </w:t>
      </w:r>
      <w:r>
        <w:rPr>
          <w:rFonts w:asciiTheme="majorHAnsi" w:hAnsiTheme="majorHAnsi"/>
          <w:sz w:val="24"/>
          <w:szCs w:val="24"/>
          <w:lang w:val="en-GB"/>
        </w:rPr>
        <w:t xml:space="preserve">for Sustainable Development 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endorsed by UN Member States in September 2015 </w:t>
      </w:r>
      <w:r>
        <w:rPr>
          <w:rFonts w:asciiTheme="majorHAnsi" w:hAnsiTheme="majorHAnsi"/>
          <w:sz w:val="24"/>
          <w:szCs w:val="24"/>
          <w:lang w:val="en-GB"/>
        </w:rPr>
        <w:t>calls for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 transformative and integrated policies leading towards a sustainable development path. Realizing the vision of the 2030 Agenda </w:t>
      </w:r>
      <w:r>
        <w:rPr>
          <w:rFonts w:asciiTheme="majorHAnsi" w:hAnsiTheme="majorHAnsi"/>
          <w:sz w:val="24"/>
          <w:szCs w:val="24"/>
          <w:lang w:val="en-GB"/>
        </w:rPr>
        <w:t>requires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 better</w:t>
      </w:r>
      <w:r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99103B">
        <w:rPr>
          <w:rFonts w:asciiTheme="majorHAnsi" w:hAnsiTheme="majorHAnsi"/>
          <w:sz w:val="24"/>
          <w:szCs w:val="24"/>
          <w:lang w:val="en-GB"/>
        </w:rPr>
        <w:t>informed policy decision</w:t>
      </w:r>
      <w:r>
        <w:rPr>
          <w:rFonts w:asciiTheme="majorHAnsi" w:hAnsiTheme="majorHAnsi"/>
          <w:sz w:val="24"/>
          <w:szCs w:val="24"/>
          <w:lang w:val="en-GB"/>
        </w:rPr>
        <w:t>-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making in all three dimensions of sustainable development </w:t>
      </w:r>
      <w:r>
        <w:rPr>
          <w:rFonts w:asciiTheme="majorHAnsi" w:hAnsiTheme="majorHAnsi"/>
          <w:sz w:val="24"/>
          <w:szCs w:val="24"/>
          <w:lang w:val="en-GB"/>
        </w:rPr>
        <w:t xml:space="preserve">along 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with dedicated attention to their interlinkages. Policies </w:t>
      </w:r>
      <w:r>
        <w:rPr>
          <w:rFonts w:asciiTheme="majorHAnsi" w:hAnsiTheme="majorHAnsi"/>
          <w:sz w:val="24"/>
          <w:szCs w:val="24"/>
          <w:lang w:val="en-GB"/>
        </w:rPr>
        <w:t>need to support a complex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 balancing </w:t>
      </w:r>
      <w:r>
        <w:rPr>
          <w:rFonts w:asciiTheme="majorHAnsi" w:hAnsiTheme="majorHAnsi"/>
          <w:sz w:val="24"/>
          <w:szCs w:val="24"/>
          <w:lang w:val="en-GB"/>
        </w:rPr>
        <w:t xml:space="preserve">of </w:t>
      </w:r>
      <w:r w:rsidRPr="0099103B">
        <w:rPr>
          <w:rFonts w:asciiTheme="majorHAnsi" w:hAnsiTheme="majorHAnsi"/>
          <w:sz w:val="24"/>
          <w:szCs w:val="24"/>
          <w:lang w:val="en-GB"/>
        </w:rPr>
        <w:t>global goals with national development aspirations while also balancing trade-offs across sectors, goals and targets. Science-informed policymaking will help unveil policy and investment opportunities in all three dimensions</w:t>
      </w:r>
      <w:r>
        <w:rPr>
          <w:rFonts w:asciiTheme="majorHAnsi" w:hAnsiTheme="majorHAnsi"/>
          <w:sz w:val="24"/>
          <w:szCs w:val="24"/>
          <w:lang w:val="en-GB"/>
        </w:rPr>
        <w:t>. I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t will also help to </w:t>
      </w:r>
      <w:r>
        <w:rPr>
          <w:rFonts w:asciiTheme="majorHAnsi" w:hAnsiTheme="majorHAnsi"/>
          <w:sz w:val="24"/>
          <w:szCs w:val="24"/>
          <w:lang w:val="en-GB"/>
        </w:rPr>
        <w:t>define</w:t>
      </w:r>
      <w:r w:rsidRPr="0099103B">
        <w:rPr>
          <w:rFonts w:asciiTheme="majorHAnsi" w:hAnsiTheme="majorHAnsi"/>
          <w:sz w:val="24"/>
          <w:szCs w:val="24"/>
          <w:lang w:val="en-GB"/>
        </w:rPr>
        <w:t xml:space="preserve"> interlinkages that will lead countries towards sustainable development.</w:t>
      </w:r>
    </w:p>
    <w:p w14:paraId="42E42102" w14:textId="77777777" w:rsidR="007A5F98" w:rsidRDefault="007A5F98" w:rsidP="007A5F98">
      <w:pPr>
        <w:spacing w:line="360" w:lineRule="auto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This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CC3F2C">
        <w:rPr>
          <w:rFonts w:asciiTheme="majorHAnsi" w:hAnsiTheme="majorHAnsi"/>
          <w:b/>
          <w:sz w:val="24"/>
          <w:szCs w:val="24"/>
          <w:lang w:val="en-GB"/>
        </w:rPr>
        <w:t>outreach hands-on training course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/>
          <w:sz w:val="24"/>
          <w:szCs w:val="24"/>
          <w:lang w:val="en-GB"/>
        </w:rPr>
        <w:t xml:space="preserve">aims </w:t>
      </w:r>
      <w:r w:rsidRPr="00CC3F2C">
        <w:rPr>
          <w:rFonts w:asciiTheme="majorHAnsi" w:hAnsiTheme="majorHAnsi"/>
          <w:sz w:val="24"/>
          <w:szCs w:val="24"/>
          <w:lang w:val="en-GB"/>
        </w:rPr>
        <w:t>to enhance understanding of how modelling tools can be used to unveil interlinkages across different policy areas</w:t>
      </w:r>
      <w:r>
        <w:rPr>
          <w:rFonts w:asciiTheme="majorHAnsi" w:hAnsiTheme="majorHAnsi"/>
          <w:sz w:val="24"/>
          <w:szCs w:val="24"/>
          <w:lang w:val="en-GB"/>
        </w:rPr>
        <w:t>,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and </w:t>
      </w:r>
      <w:r>
        <w:rPr>
          <w:rFonts w:asciiTheme="majorHAnsi" w:hAnsiTheme="majorHAnsi"/>
          <w:sz w:val="24"/>
          <w:szCs w:val="24"/>
          <w:lang w:val="en-GB"/>
        </w:rPr>
        <w:t>how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/>
          <w:sz w:val="24"/>
          <w:szCs w:val="24"/>
          <w:lang w:val="en-GB"/>
        </w:rPr>
        <w:t xml:space="preserve">they can inform policy </w:t>
      </w:r>
      <w:r w:rsidRPr="00CC3F2C">
        <w:rPr>
          <w:rFonts w:asciiTheme="majorHAnsi" w:hAnsiTheme="majorHAnsi"/>
          <w:sz w:val="24"/>
          <w:szCs w:val="24"/>
          <w:lang w:val="en-GB"/>
        </w:rPr>
        <w:t>decision</w:t>
      </w:r>
      <w:r>
        <w:rPr>
          <w:rFonts w:asciiTheme="majorHAnsi" w:hAnsiTheme="majorHAnsi"/>
          <w:sz w:val="24"/>
          <w:szCs w:val="24"/>
          <w:lang w:val="en-GB"/>
        </w:rPr>
        <w:t>-</w:t>
      </w:r>
      <w:r w:rsidRPr="00CC3F2C">
        <w:rPr>
          <w:rFonts w:asciiTheme="majorHAnsi" w:hAnsiTheme="majorHAnsi"/>
          <w:sz w:val="24"/>
          <w:szCs w:val="24"/>
          <w:lang w:val="en-GB"/>
        </w:rPr>
        <w:t>making. Th</w:t>
      </w:r>
      <w:r>
        <w:rPr>
          <w:rFonts w:asciiTheme="majorHAnsi" w:hAnsiTheme="majorHAnsi"/>
          <w:sz w:val="24"/>
          <w:szCs w:val="24"/>
          <w:lang w:val="en-GB"/>
        </w:rPr>
        <w:t>e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course is </w:t>
      </w:r>
      <w:r>
        <w:rPr>
          <w:rFonts w:asciiTheme="majorHAnsi" w:hAnsiTheme="majorHAnsi"/>
          <w:sz w:val="24"/>
          <w:szCs w:val="24"/>
          <w:lang w:val="en-GB"/>
        </w:rPr>
        <w:t xml:space="preserve">a 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practical </w:t>
      </w:r>
      <w:r>
        <w:rPr>
          <w:rFonts w:asciiTheme="majorHAnsi" w:hAnsiTheme="majorHAnsi"/>
          <w:sz w:val="24"/>
          <w:szCs w:val="24"/>
          <w:lang w:val="en-GB"/>
        </w:rPr>
        <w:t>guide on the principles of five modelling tools and the insights they can offer to policy decision-making. It is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targeted to policy decision makers</w:t>
      </w:r>
      <w:r>
        <w:rPr>
          <w:rFonts w:asciiTheme="majorHAnsi" w:hAnsiTheme="majorHAnsi"/>
          <w:sz w:val="24"/>
          <w:szCs w:val="24"/>
          <w:lang w:val="en-GB"/>
        </w:rPr>
        <w:t xml:space="preserve"> and development practitioners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/>
          <w:sz w:val="24"/>
          <w:szCs w:val="24"/>
          <w:lang w:val="en-GB"/>
        </w:rPr>
        <w:t xml:space="preserve">who want to gain understanding about a selected number of modelling tools available for evidence-based decision-making for sustainable development. </w:t>
      </w:r>
    </w:p>
    <w:p w14:paraId="59389E73" w14:textId="7C88A54F" w:rsidR="00CF0246" w:rsidRDefault="00457D22" w:rsidP="00AA7770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This 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module </w:t>
      </w:r>
      <w:r w:rsidR="007A5F98">
        <w:rPr>
          <w:rFonts w:asciiTheme="majorHAnsi" w:hAnsiTheme="majorHAnsi"/>
          <w:sz w:val="24"/>
          <w:szCs w:val="24"/>
          <w:lang w:val="en-GB"/>
        </w:rPr>
        <w:t>looks at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the </w:t>
      </w:r>
      <w:r>
        <w:rPr>
          <w:rFonts w:asciiTheme="majorHAnsi" w:hAnsiTheme="majorHAnsi"/>
          <w:sz w:val="24"/>
          <w:szCs w:val="24"/>
          <w:lang w:val="en-GB"/>
        </w:rPr>
        <w:t xml:space="preserve">simultaneous 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effects of </w:t>
      </w:r>
      <w:r>
        <w:rPr>
          <w:rFonts w:asciiTheme="majorHAnsi" w:hAnsiTheme="majorHAnsi"/>
          <w:sz w:val="24"/>
          <w:szCs w:val="24"/>
          <w:lang w:val="en-GB"/>
        </w:rPr>
        <w:t xml:space="preserve">selected </w:t>
      </w:r>
      <w:r w:rsidR="007A5F98">
        <w:rPr>
          <w:rFonts w:asciiTheme="majorHAnsi" w:hAnsiTheme="majorHAnsi"/>
          <w:sz w:val="24"/>
          <w:szCs w:val="24"/>
          <w:lang w:val="en-GB"/>
        </w:rPr>
        <w:t xml:space="preserve">national </w:t>
      </w:r>
      <w:r>
        <w:rPr>
          <w:rFonts w:asciiTheme="majorHAnsi" w:hAnsiTheme="majorHAnsi"/>
          <w:sz w:val="24"/>
          <w:szCs w:val="24"/>
          <w:lang w:val="en-GB"/>
        </w:rPr>
        <w:t>sustainable development policies on water and land</w:t>
      </w:r>
      <w:r w:rsidR="007B293C">
        <w:rPr>
          <w:rFonts w:asciiTheme="majorHAnsi" w:hAnsi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/>
          <w:sz w:val="24"/>
          <w:szCs w:val="24"/>
          <w:lang w:val="en-GB"/>
        </w:rPr>
        <w:t xml:space="preserve">use, energy costs and investments, 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emissions and </w:t>
      </w:r>
      <w:r>
        <w:rPr>
          <w:rFonts w:asciiTheme="majorHAnsi" w:hAnsiTheme="majorHAnsi"/>
          <w:sz w:val="24"/>
          <w:szCs w:val="24"/>
          <w:lang w:val="en-GB"/>
        </w:rPr>
        <w:t xml:space="preserve">other </w:t>
      </w:r>
      <w:r w:rsidRPr="00CC3F2C">
        <w:rPr>
          <w:rFonts w:asciiTheme="majorHAnsi" w:hAnsiTheme="majorHAnsi"/>
          <w:sz w:val="24"/>
          <w:szCs w:val="24"/>
          <w:lang w:val="en-GB"/>
        </w:rPr>
        <w:t>sector</w:t>
      </w:r>
      <w:r w:rsidR="007A5F98">
        <w:rPr>
          <w:rFonts w:asciiTheme="majorHAnsi" w:hAnsiTheme="majorHAnsi"/>
          <w:sz w:val="24"/>
          <w:szCs w:val="24"/>
          <w:lang w:val="en-GB"/>
        </w:rPr>
        <w:t>a</w:t>
      </w:r>
      <w:r w:rsidRPr="00CC3F2C">
        <w:rPr>
          <w:rFonts w:asciiTheme="majorHAnsi" w:hAnsiTheme="majorHAnsi"/>
          <w:sz w:val="24"/>
          <w:szCs w:val="24"/>
          <w:lang w:val="en-GB"/>
        </w:rPr>
        <w:t>l impacts</w:t>
      </w:r>
      <w:r>
        <w:rPr>
          <w:rFonts w:asciiTheme="majorHAnsi" w:hAnsiTheme="majorHAnsi"/>
          <w:sz w:val="24"/>
          <w:szCs w:val="24"/>
          <w:lang w:val="en-GB"/>
        </w:rPr>
        <w:t>. The module illustrates how integrated assessment can</w:t>
      </w:r>
      <w:r w:rsidRPr="00CC3F2C">
        <w:rPr>
          <w:rFonts w:asciiTheme="majorHAnsi" w:hAnsiTheme="majorHAnsi"/>
          <w:sz w:val="24"/>
          <w:szCs w:val="24"/>
          <w:lang w:val="en-GB"/>
        </w:rPr>
        <w:t xml:space="preserve"> help uncover unexpected consequences on, for example, water resources and energy </w:t>
      </w:r>
      <w:r w:rsidRPr="00CC3F2C">
        <w:rPr>
          <w:rFonts w:asciiTheme="majorHAnsi" w:hAnsiTheme="majorHAnsi"/>
          <w:sz w:val="24"/>
          <w:szCs w:val="24"/>
        </w:rPr>
        <w:t>use.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6A76B2B1" w14:textId="0B30EA44" w:rsidR="00457D22" w:rsidRDefault="00CF0246" w:rsidP="00AA7770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</w:t>
      </w:r>
      <w:r w:rsidR="000C04F1">
        <w:rPr>
          <w:rFonts w:asciiTheme="majorHAnsi" w:hAnsiTheme="majorHAnsi"/>
          <w:sz w:val="24"/>
          <w:szCs w:val="24"/>
        </w:rPr>
        <w:t xml:space="preserve"> </w:t>
      </w:r>
      <w:r w:rsidR="007F38AF">
        <w:rPr>
          <w:rFonts w:asciiTheme="majorHAnsi" w:hAnsiTheme="majorHAnsi"/>
          <w:sz w:val="24"/>
          <w:szCs w:val="24"/>
        </w:rPr>
        <w:t>module explores the</w:t>
      </w:r>
      <w:r w:rsidR="000C04F1">
        <w:rPr>
          <w:rFonts w:asciiTheme="majorHAnsi" w:hAnsiTheme="majorHAnsi"/>
          <w:sz w:val="24"/>
          <w:szCs w:val="24"/>
        </w:rPr>
        <w:t xml:space="preserve"> food-energy-water nexus through the analysis and discussion of three case</w:t>
      </w:r>
      <w:r w:rsidR="007F38AF">
        <w:rPr>
          <w:rFonts w:asciiTheme="majorHAnsi" w:hAnsiTheme="majorHAnsi"/>
          <w:sz w:val="24"/>
          <w:szCs w:val="24"/>
        </w:rPr>
        <w:t xml:space="preserve"> studies. It introduces the </w:t>
      </w:r>
      <w:r w:rsidR="007F38AF">
        <w:rPr>
          <w:rFonts w:asciiTheme="majorHAnsi" w:hAnsiTheme="majorHAnsi"/>
          <w:sz w:val="24"/>
          <w:szCs w:val="24"/>
          <w:lang w:val="en-GB"/>
        </w:rPr>
        <w:t xml:space="preserve">climate, land, energy and water (CLEWS) </w:t>
      </w:r>
      <w:r w:rsidR="000C04F1">
        <w:rPr>
          <w:rFonts w:asciiTheme="majorHAnsi" w:hAnsiTheme="majorHAnsi"/>
          <w:sz w:val="24"/>
          <w:szCs w:val="24"/>
        </w:rPr>
        <w:t xml:space="preserve">approach </w:t>
      </w:r>
      <w:r w:rsidR="007F38AF">
        <w:rPr>
          <w:rFonts w:asciiTheme="majorHAnsi" w:hAnsiTheme="majorHAnsi"/>
          <w:sz w:val="24"/>
          <w:szCs w:val="24"/>
        </w:rPr>
        <w:t>as a tool for</w:t>
      </w:r>
      <w:r w:rsidR="000C04F1">
        <w:rPr>
          <w:rFonts w:asciiTheme="majorHAnsi" w:hAnsiTheme="majorHAnsi"/>
          <w:sz w:val="24"/>
          <w:szCs w:val="24"/>
        </w:rPr>
        <w:t xml:space="preserve"> integrated </w:t>
      </w:r>
      <w:r w:rsidR="00750994">
        <w:rPr>
          <w:rFonts w:asciiTheme="majorHAnsi" w:hAnsiTheme="majorHAnsi"/>
          <w:sz w:val="24"/>
          <w:szCs w:val="24"/>
        </w:rPr>
        <w:t xml:space="preserve">analysis. </w:t>
      </w:r>
      <w:r w:rsidR="007F38AF">
        <w:rPr>
          <w:rFonts w:asciiTheme="majorHAnsi" w:hAnsiTheme="majorHAnsi"/>
          <w:sz w:val="24"/>
          <w:szCs w:val="24"/>
        </w:rPr>
        <w:t>A</w:t>
      </w:r>
      <w:r w:rsidR="000C04F1">
        <w:rPr>
          <w:rFonts w:asciiTheme="majorHAnsi" w:hAnsiTheme="majorHAnsi"/>
          <w:sz w:val="24"/>
          <w:szCs w:val="24"/>
        </w:rPr>
        <w:t xml:space="preserve"> hands-on session </w:t>
      </w:r>
      <w:r w:rsidR="007F38AF">
        <w:rPr>
          <w:rFonts w:asciiTheme="majorHAnsi" w:hAnsiTheme="majorHAnsi"/>
          <w:sz w:val="24"/>
          <w:szCs w:val="24"/>
        </w:rPr>
        <w:t>demonstrates how to use</w:t>
      </w:r>
      <w:r w:rsidR="000C04F1">
        <w:rPr>
          <w:rFonts w:asciiTheme="majorHAnsi" w:hAnsiTheme="majorHAnsi"/>
          <w:sz w:val="24"/>
          <w:szCs w:val="24"/>
        </w:rPr>
        <w:t xml:space="preserve"> </w:t>
      </w:r>
      <w:r w:rsidR="00457D22">
        <w:rPr>
          <w:rFonts w:asciiTheme="majorHAnsi" w:hAnsiTheme="majorHAnsi"/>
          <w:sz w:val="24"/>
          <w:szCs w:val="24"/>
        </w:rPr>
        <w:t xml:space="preserve">the </w:t>
      </w:r>
      <w:hyperlink r:id="rId10" w:history="1">
        <w:r w:rsidR="00457D22" w:rsidRPr="007F5147">
          <w:rPr>
            <w:rStyle w:val="Hyperlink"/>
            <w:rFonts w:asciiTheme="majorHAnsi" w:hAnsiTheme="majorHAnsi"/>
            <w:sz w:val="24"/>
            <w:szCs w:val="24"/>
          </w:rPr>
          <w:t xml:space="preserve">CLEWS </w:t>
        </w:r>
        <w:r w:rsidR="007B293C">
          <w:rPr>
            <w:rStyle w:val="Hyperlink"/>
            <w:rFonts w:asciiTheme="majorHAnsi" w:hAnsiTheme="majorHAnsi"/>
            <w:sz w:val="24"/>
            <w:szCs w:val="24"/>
          </w:rPr>
          <w:t>country mode</w:t>
        </w:r>
      </w:hyperlink>
      <w:r w:rsidR="007B293C">
        <w:rPr>
          <w:rStyle w:val="Hyperlink"/>
          <w:rFonts w:asciiTheme="majorHAnsi" w:hAnsiTheme="majorHAnsi"/>
          <w:sz w:val="24"/>
          <w:szCs w:val="24"/>
        </w:rPr>
        <w:t>l</w:t>
      </w:r>
      <w:r w:rsidR="00457D22">
        <w:rPr>
          <w:rFonts w:asciiTheme="majorHAnsi" w:hAnsiTheme="majorHAnsi"/>
          <w:sz w:val="24"/>
          <w:szCs w:val="24"/>
        </w:rPr>
        <w:t>.</w:t>
      </w:r>
      <w:bookmarkStart w:id="10" w:name="_GoBack"/>
      <w:bookmarkEnd w:id="10"/>
    </w:p>
    <w:p w14:paraId="3A9DE887" w14:textId="77777777" w:rsidR="000C04F1" w:rsidRPr="00457D22" w:rsidRDefault="000C04F1" w:rsidP="00AA7770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9DF39A7" w14:textId="18B463CB" w:rsidR="00D2239C" w:rsidRPr="00F00541" w:rsidRDefault="007A5F98" w:rsidP="00D2239C">
      <w:pPr>
        <w:pStyle w:val="Heading1"/>
        <w:rPr>
          <w:b/>
        </w:rPr>
      </w:pPr>
      <w:bookmarkStart w:id="11" w:name="_Toc470881020"/>
      <w:bookmarkStart w:id="12" w:name="_Toc478461725"/>
      <w:bookmarkEnd w:id="6"/>
      <w:bookmarkEnd w:id="7"/>
      <w:bookmarkEnd w:id="8"/>
      <w:bookmarkEnd w:id="9"/>
      <w:r>
        <w:rPr>
          <w:rFonts w:ascii="Cambria" w:eastAsia="Cambria" w:hAnsi="Cambria" w:cs="Cambria"/>
          <w:b/>
          <w:sz w:val="28"/>
          <w:szCs w:val="28"/>
        </w:rPr>
        <w:lastRenderedPageBreak/>
        <w:t>Module:</w:t>
      </w:r>
      <w:r w:rsidR="00D2239C" w:rsidRPr="00F00541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CC675C" w:rsidRPr="00F00541">
        <w:rPr>
          <w:rFonts w:ascii="Cambria" w:eastAsia="Cambria" w:hAnsi="Cambria" w:cs="Cambria"/>
          <w:b/>
          <w:sz w:val="28"/>
          <w:szCs w:val="28"/>
        </w:rPr>
        <w:t xml:space="preserve">CLEWS </w:t>
      </w:r>
      <w:r w:rsidR="00F00541" w:rsidRPr="00F00541">
        <w:rPr>
          <w:rFonts w:ascii="Cambria" w:eastAsia="Cambria" w:hAnsi="Cambria" w:cs="Cambria"/>
          <w:b/>
          <w:sz w:val="28"/>
          <w:szCs w:val="28"/>
        </w:rPr>
        <w:t>Country</w:t>
      </w:r>
      <w:r w:rsidR="00CC675C" w:rsidRPr="00F00541">
        <w:rPr>
          <w:rFonts w:ascii="Cambria" w:eastAsia="Cambria" w:hAnsi="Cambria" w:cs="Cambria"/>
          <w:b/>
          <w:sz w:val="28"/>
          <w:szCs w:val="28"/>
        </w:rPr>
        <w:t xml:space="preserve"> Model</w:t>
      </w:r>
      <w:bookmarkEnd w:id="11"/>
      <w:bookmarkEnd w:id="12"/>
    </w:p>
    <w:p w14:paraId="291515C2" w14:textId="77777777" w:rsidR="00D2239C" w:rsidRDefault="00D2239C" w:rsidP="00D2239C">
      <w:pPr>
        <w:pStyle w:val="Heading2"/>
      </w:pPr>
      <w:bookmarkStart w:id="13" w:name="_30j0zll" w:colFirst="0" w:colLast="0"/>
      <w:bookmarkStart w:id="14" w:name="_1fob9te" w:colFirst="0" w:colLast="0"/>
      <w:bookmarkStart w:id="15" w:name="_Toc470881022"/>
      <w:bookmarkStart w:id="16" w:name="_Toc478461726"/>
      <w:bookmarkEnd w:id="13"/>
      <w:bookmarkEnd w:id="14"/>
      <w:r>
        <w:rPr>
          <w:rFonts w:ascii="Cambria" w:eastAsia="Cambria" w:hAnsi="Cambria" w:cs="Cambria"/>
          <w:sz w:val="24"/>
          <w:szCs w:val="24"/>
        </w:rPr>
        <w:t>Learning Objectives</w:t>
      </w:r>
      <w:bookmarkEnd w:id="15"/>
      <w:bookmarkEnd w:id="16"/>
    </w:p>
    <w:p w14:paraId="7C49B02C" w14:textId="588841B5" w:rsidR="00F00541" w:rsidRPr="00F376B3" w:rsidRDefault="00F00541" w:rsidP="002A34B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GB"/>
        </w:rPr>
      </w:pPr>
      <w:bookmarkStart w:id="17" w:name="_Toc469999926"/>
      <w:bookmarkStart w:id="18" w:name="_Toc470882905"/>
      <w:r w:rsidRPr="00F376B3">
        <w:rPr>
          <w:rFonts w:asciiTheme="majorHAnsi" w:hAnsiTheme="majorHAnsi"/>
          <w:sz w:val="24"/>
          <w:szCs w:val="24"/>
          <w:lang w:val="en-GB"/>
        </w:rPr>
        <w:t>Understand why food</w:t>
      </w:r>
      <w:r w:rsidR="002139DC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F376B3">
        <w:rPr>
          <w:rFonts w:asciiTheme="majorHAnsi" w:hAnsiTheme="majorHAnsi"/>
          <w:sz w:val="24"/>
          <w:szCs w:val="24"/>
          <w:lang w:val="en-GB"/>
        </w:rPr>
        <w:t>energy</w:t>
      </w:r>
      <w:r w:rsidR="002139DC">
        <w:rPr>
          <w:rFonts w:asciiTheme="majorHAnsi" w:hAnsiTheme="majorHAnsi"/>
          <w:sz w:val="24"/>
          <w:szCs w:val="24"/>
          <w:lang w:val="en-GB"/>
        </w:rPr>
        <w:t xml:space="preserve"> and </w:t>
      </w:r>
      <w:r w:rsidRPr="00F376B3">
        <w:rPr>
          <w:rFonts w:asciiTheme="majorHAnsi" w:hAnsiTheme="majorHAnsi"/>
          <w:sz w:val="24"/>
          <w:szCs w:val="24"/>
          <w:lang w:val="en-GB"/>
        </w:rPr>
        <w:t>water should be assessed in an integrated wa</w:t>
      </w:r>
      <w:r w:rsidR="002139DC">
        <w:rPr>
          <w:rFonts w:asciiTheme="majorHAnsi" w:hAnsiTheme="majorHAnsi"/>
          <w:sz w:val="24"/>
          <w:szCs w:val="24"/>
          <w:lang w:val="en-GB"/>
        </w:rPr>
        <w:t>y.</w:t>
      </w:r>
    </w:p>
    <w:p w14:paraId="31F87921" w14:textId="010FFCF9" w:rsidR="00F00541" w:rsidRPr="00F376B3" w:rsidRDefault="00F00541" w:rsidP="002A34B2">
      <w:pPr>
        <w:numPr>
          <w:ilvl w:val="0"/>
          <w:numId w:val="4"/>
        </w:numPr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 xml:space="preserve">Understand </w:t>
      </w:r>
      <w:r w:rsidR="008316FE">
        <w:rPr>
          <w:rFonts w:asciiTheme="majorHAnsi" w:hAnsiTheme="majorHAnsi"/>
          <w:sz w:val="24"/>
          <w:szCs w:val="24"/>
          <w:lang w:val="en-GB"/>
        </w:rPr>
        <w:t>how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to integrate climate, land, energy and water </w:t>
      </w:r>
      <w:r w:rsidR="008316FE">
        <w:rPr>
          <w:rFonts w:asciiTheme="majorHAnsi" w:hAnsiTheme="majorHAnsi"/>
          <w:sz w:val="24"/>
          <w:szCs w:val="24"/>
          <w:lang w:val="en-GB"/>
        </w:rPr>
        <w:t xml:space="preserve">modelling tools </w:t>
      </w:r>
      <w:r w:rsidRPr="00F376B3">
        <w:rPr>
          <w:rFonts w:asciiTheme="majorHAnsi" w:hAnsiTheme="majorHAnsi"/>
          <w:sz w:val="24"/>
          <w:szCs w:val="24"/>
          <w:lang w:val="en-GB"/>
        </w:rPr>
        <w:t>into the CLEWS framework</w:t>
      </w:r>
      <w:r w:rsidR="008316FE">
        <w:rPr>
          <w:rFonts w:asciiTheme="majorHAnsi" w:hAnsiTheme="majorHAnsi"/>
          <w:sz w:val="24"/>
          <w:szCs w:val="24"/>
          <w:lang w:val="en-GB"/>
        </w:rPr>
        <w:t>.</w:t>
      </w:r>
    </w:p>
    <w:p w14:paraId="244BA541" w14:textId="0FA012EA" w:rsidR="00F00541" w:rsidRPr="00F376B3" w:rsidRDefault="00F00541" w:rsidP="002A34B2">
      <w:pPr>
        <w:numPr>
          <w:ilvl w:val="0"/>
          <w:numId w:val="4"/>
        </w:numPr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 xml:space="preserve">Assess </w:t>
      </w:r>
      <w:r w:rsidR="00D85D3E">
        <w:rPr>
          <w:rFonts w:asciiTheme="majorHAnsi" w:hAnsiTheme="majorHAnsi"/>
          <w:sz w:val="24"/>
          <w:szCs w:val="24"/>
          <w:lang w:val="en-GB"/>
        </w:rPr>
        <w:t xml:space="preserve">the strengths and </w:t>
      </w:r>
      <w:r w:rsidRPr="00F376B3">
        <w:rPr>
          <w:rFonts w:asciiTheme="majorHAnsi" w:hAnsiTheme="majorHAnsi"/>
          <w:sz w:val="24"/>
          <w:szCs w:val="24"/>
          <w:lang w:val="en-GB"/>
        </w:rPr>
        <w:t>weakness</w:t>
      </w:r>
      <w:r w:rsidR="008316FE">
        <w:rPr>
          <w:rFonts w:asciiTheme="majorHAnsi" w:hAnsiTheme="majorHAnsi"/>
          <w:sz w:val="24"/>
          <w:szCs w:val="24"/>
          <w:lang w:val="en-GB"/>
        </w:rPr>
        <w:t>es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of th</w:t>
      </w:r>
      <w:r w:rsidR="008316FE">
        <w:rPr>
          <w:rFonts w:asciiTheme="majorHAnsi" w:hAnsiTheme="majorHAnsi"/>
          <w:sz w:val="24"/>
          <w:szCs w:val="24"/>
          <w:lang w:val="en-GB"/>
        </w:rPr>
        <w:t xml:space="preserve">e CLEWS model in terms of </w:t>
      </w:r>
      <w:r w:rsidRPr="00F376B3">
        <w:rPr>
          <w:rFonts w:asciiTheme="majorHAnsi" w:hAnsiTheme="majorHAnsi"/>
          <w:sz w:val="24"/>
          <w:szCs w:val="24"/>
          <w:lang w:val="en-GB"/>
        </w:rPr>
        <w:t>integrated analysis</w:t>
      </w:r>
      <w:r w:rsidR="008316FE">
        <w:rPr>
          <w:rFonts w:asciiTheme="majorHAnsi" w:hAnsiTheme="majorHAnsi"/>
          <w:sz w:val="24"/>
          <w:szCs w:val="24"/>
          <w:lang w:val="en-GB"/>
        </w:rPr>
        <w:t>.</w:t>
      </w:r>
    </w:p>
    <w:p w14:paraId="050F8649" w14:textId="44E7E26B" w:rsidR="00750994" w:rsidRDefault="00F00541" w:rsidP="002A34B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 xml:space="preserve">Use the online CLEWS interface to inform </w:t>
      </w:r>
      <w:r w:rsidRPr="00F376B3">
        <w:rPr>
          <w:rFonts w:asciiTheme="majorHAnsi" w:hAnsiTheme="majorHAnsi"/>
          <w:bCs/>
          <w:sz w:val="24"/>
          <w:szCs w:val="24"/>
          <w:lang w:val="en-GB"/>
        </w:rPr>
        <w:t xml:space="preserve">debates </w:t>
      </w:r>
      <w:r w:rsidR="008316FE">
        <w:rPr>
          <w:rFonts w:asciiTheme="majorHAnsi" w:hAnsiTheme="majorHAnsi"/>
          <w:bCs/>
          <w:sz w:val="24"/>
          <w:szCs w:val="24"/>
          <w:lang w:val="en-GB"/>
        </w:rPr>
        <w:t>on</w:t>
      </w:r>
      <w:r w:rsidRPr="00F376B3">
        <w:rPr>
          <w:rFonts w:asciiTheme="majorHAnsi" w:hAnsiTheme="majorHAnsi"/>
          <w:bCs/>
          <w:sz w:val="24"/>
          <w:szCs w:val="24"/>
          <w:lang w:val="en-GB"/>
        </w:rPr>
        <w:t xml:space="preserve"> sustainable development policies</w:t>
      </w:r>
      <w:r w:rsidR="008316FE">
        <w:rPr>
          <w:rFonts w:asciiTheme="majorHAnsi" w:hAnsiTheme="majorHAnsi"/>
          <w:bCs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bCs/>
          <w:sz w:val="24"/>
          <w:szCs w:val="24"/>
          <w:lang w:val="en-GB"/>
        </w:rPr>
        <w:t xml:space="preserve"> and the interlinkages among </w:t>
      </w:r>
      <w:r w:rsidRPr="00F376B3">
        <w:rPr>
          <w:rFonts w:asciiTheme="majorHAnsi" w:hAnsiTheme="majorHAnsi"/>
          <w:sz w:val="24"/>
          <w:szCs w:val="24"/>
          <w:lang w:val="en-GB"/>
        </w:rPr>
        <w:t>climate, land, energy and water</w:t>
      </w:r>
      <w:r w:rsidR="008316FE">
        <w:rPr>
          <w:rFonts w:asciiTheme="majorHAnsi" w:hAnsiTheme="majorHAnsi"/>
          <w:sz w:val="24"/>
          <w:szCs w:val="24"/>
          <w:lang w:val="en-GB"/>
        </w:rPr>
        <w:t xml:space="preserve"> systems.</w:t>
      </w:r>
      <w:r w:rsidRPr="00F376B3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</w:p>
    <w:p w14:paraId="0672DE6E" w14:textId="77777777" w:rsidR="00750994" w:rsidRDefault="00750994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br w:type="page"/>
      </w:r>
    </w:p>
    <w:p w14:paraId="7C2C2235" w14:textId="1A3A9773" w:rsidR="00D2239C" w:rsidRDefault="00AA7770" w:rsidP="00D2239C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9" w:name="_3znysh7" w:colFirst="0" w:colLast="0"/>
      <w:bookmarkStart w:id="20" w:name="_2et92p0" w:colFirst="0" w:colLast="0"/>
      <w:bookmarkStart w:id="21" w:name="_Toc478461727"/>
      <w:bookmarkEnd w:id="17"/>
      <w:bookmarkEnd w:id="18"/>
      <w:bookmarkEnd w:id="19"/>
      <w:bookmarkEnd w:id="20"/>
      <w:r>
        <w:rPr>
          <w:rFonts w:ascii="Cambria" w:eastAsia="Cambria" w:hAnsi="Cambria" w:cs="Cambria"/>
          <w:sz w:val="24"/>
          <w:szCs w:val="24"/>
        </w:rPr>
        <w:lastRenderedPageBreak/>
        <w:t>Workshop Schedule</w:t>
      </w:r>
      <w:bookmarkEnd w:id="21"/>
    </w:p>
    <w:p w14:paraId="0FD0FD47" w14:textId="77777777" w:rsidR="00E5586A" w:rsidRPr="00D2239C" w:rsidRDefault="00E5586A" w:rsidP="00D2239C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652"/>
        <w:gridCol w:w="1168"/>
      </w:tblGrid>
      <w:tr w:rsidR="00F00541" w:rsidRPr="00F376B3" w14:paraId="325FEDBD" w14:textId="77777777" w:rsidTr="00D4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7A5C31" w14:textId="77777777" w:rsidR="00F00541" w:rsidRPr="00F376B3" w:rsidRDefault="00F00541" w:rsidP="0040360D">
            <w:pPr>
              <w:rPr>
                <w:rFonts w:asciiTheme="majorHAnsi" w:hAnsiTheme="majorHAnsi"/>
                <w:b w:val="0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Key</w:t>
            </w:r>
          </w:p>
        </w:tc>
        <w:tc>
          <w:tcPr>
            <w:tcW w:w="3402" w:type="dxa"/>
          </w:tcPr>
          <w:p w14:paraId="5E2F9F5D" w14:textId="0D496B01" w:rsidR="00F00541" w:rsidRPr="00F376B3" w:rsidRDefault="00F00541" w:rsidP="00403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Session </w:t>
            </w:r>
          </w:p>
        </w:tc>
        <w:tc>
          <w:tcPr>
            <w:tcW w:w="3652" w:type="dxa"/>
          </w:tcPr>
          <w:p w14:paraId="640196BD" w14:textId="77777777" w:rsidR="00F00541" w:rsidRPr="00F376B3" w:rsidRDefault="00F00541" w:rsidP="00403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Dynamic</w:t>
            </w:r>
          </w:p>
        </w:tc>
        <w:tc>
          <w:tcPr>
            <w:tcW w:w="1168" w:type="dxa"/>
          </w:tcPr>
          <w:p w14:paraId="2C00B657" w14:textId="77777777" w:rsidR="00F00541" w:rsidRPr="00F376B3" w:rsidRDefault="00F00541" w:rsidP="00403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Time</w:t>
            </w:r>
          </w:p>
        </w:tc>
      </w:tr>
      <w:tr w:rsidR="00E5586A" w:rsidRPr="00F376B3" w14:paraId="3E4863C2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30461A" w14:textId="77777777" w:rsidR="00E5586A" w:rsidRPr="00F376B3" w:rsidRDefault="00E5586A" w:rsidP="0040360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1</w:t>
            </w:r>
          </w:p>
        </w:tc>
        <w:tc>
          <w:tcPr>
            <w:tcW w:w="3402" w:type="dxa"/>
          </w:tcPr>
          <w:p w14:paraId="78BDED7F" w14:textId="2DF2DF22" w:rsidR="00E5586A" w:rsidRPr="00E5586A" w:rsidRDefault="00E5586A" w:rsidP="00E5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Integrated </w:t>
            </w:r>
            <w:r w:rsidR="001D6EAC"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assessment of climate, land, energy </w:t>
            </w:r>
            <w:r w:rsidR="001D6EAC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and</w:t>
            </w:r>
            <w:r w:rsidR="001D6EAC"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 water </w:t>
            </w:r>
            <w:r w:rsidR="007B293C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systems </w:t>
            </w:r>
            <w:r w:rsidR="001D6EAC"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in countries</w:t>
            </w:r>
          </w:p>
        </w:tc>
        <w:tc>
          <w:tcPr>
            <w:tcW w:w="3652" w:type="dxa"/>
          </w:tcPr>
          <w:p w14:paraId="294D18B9" w14:textId="75E8D772" w:rsidR="00E5586A" w:rsidRPr="00F376B3" w:rsidRDefault="00E5586A" w:rsidP="00E55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Presentation </w:t>
            </w:r>
          </w:p>
        </w:tc>
        <w:tc>
          <w:tcPr>
            <w:tcW w:w="1168" w:type="dxa"/>
          </w:tcPr>
          <w:p w14:paraId="0DBA4727" w14:textId="4FD1E8D5" w:rsidR="00E5586A" w:rsidRPr="00F376B3" w:rsidRDefault="00E5586A" w:rsidP="00403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45 minutes</w:t>
            </w:r>
          </w:p>
        </w:tc>
      </w:tr>
      <w:tr w:rsidR="00E5586A" w:rsidRPr="00F376B3" w14:paraId="52937FC4" w14:textId="77777777" w:rsidTr="00D43DE5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9BA972" w14:textId="5966ECCC" w:rsidR="00E5586A" w:rsidRPr="00F376B3" w:rsidRDefault="001D6EAC" w:rsidP="0040360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2</w:t>
            </w:r>
          </w:p>
        </w:tc>
        <w:tc>
          <w:tcPr>
            <w:tcW w:w="3402" w:type="dxa"/>
          </w:tcPr>
          <w:p w14:paraId="78C03F32" w14:textId="3070E998" w:rsidR="00E5586A" w:rsidRPr="00E5586A" w:rsidRDefault="001D6EAC" w:rsidP="001D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C</w:t>
            </w:r>
            <w:r w:rsidR="00E5586A"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ountry cases</w:t>
            </w:r>
          </w:p>
        </w:tc>
        <w:tc>
          <w:tcPr>
            <w:tcW w:w="3652" w:type="dxa"/>
          </w:tcPr>
          <w:p w14:paraId="024557A1" w14:textId="76BE36D8" w:rsidR="00E5586A" w:rsidRPr="00F376B3" w:rsidRDefault="00E5586A" w:rsidP="00403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Group </w:t>
            </w:r>
            <w:r w:rsidR="001D6EAC">
              <w:rPr>
                <w:rFonts w:asciiTheme="majorHAnsi" w:hAnsiTheme="majorHAnsi"/>
                <w:sz w:val="24"/>
                <w:szCs w:val="24"/>
                <w:lang w:val="en-GB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iscussion</w:t>
            </w:r>
          </w:p>
        </w:tc>
        <w:tc>
          <w:tcPr>
            <w:tcW w:w="1168" w:type="dxa"/>
          </w:tcPr>
          <w:p w14:paraId="393F75B5" w14:textId="70D2AE57" w:rsidR="00E5586A" w:rsidRPr="00F376B3" w:rsidRDefault="00E5586A" w:rsidP="00403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F376B3">
              <w:rPr>
                <w:rFonts w:asciiTheme="majorHAnsi" w:hAnsiTheme="majorHAnsi"/>
                <w:sz w:val="24"/>
                <w:szCs w:val="24"/>
                <w:lang w:val="en-GB"/>
              </w:rPr>
              <w:t>45 minutes</w:t>
            </w:r>
          </w:p>
        </w:tc>
      </w:tr>
      <w:tr w:rsidR="00E5586A" w:rsidRPr="00F376B3" w14:paraId="52F46200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gridSpan w:val="3"/>
            <w:vAlign w:val="center"/>
          </w:tcPr>
          <w:p w14:paraId="38C52E70" w14:textId="7A4AF95F" w:rsidR="00E5586A" w:rsidRDefault="00E5586A" w:rsidP="00E5586A">
            <w:pPr>
              <w:jc w:val="center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Coffee </w:t>
            </w:r>
            <w:r w:rsidR="001D6EAC">
              <w:rPr>
                <w:rFonts w:asciiTheme="majorHAnsi" w:hAnsiTheme="majorHAnsi"/>
                <w:sz w:val="24"/>
                <w:szCs w:val="24"/>
                <w:lang w:val="en-GB"/>
              </w:rPr>
              <w:t>b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reak</w:t>
            </w:r>
          </w:p>
        </w:tc>
        <w:tc>
          <w:tcPr>
            <w:tcW w:w="1168" w:type="dxa"/>
          </w:tcPr>
          <w:p w14:paraId="7F935A19" w14:textId="7AAA21FC" w:rsidR="00E5586A" w:rsidRPr="00F376B3" w:rsidRDefault="00E5586A" w:rsidP="00403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15 minutes</w:t>
            </w:r>
          </w:p>
        </w:tc>
      </w:tr>
      <w:tr w:rsidR="00555C56" w:rsidRPr="00F376B3" w14:paraId="72D32A6F" w14:textId="77777777" w:rsidTr="00D43DE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C8E4F5" w14:textId="7A8ABFBD" w:rsidR="00555C56" w:rsidRPr="00F376B3" w:rsidRDefault="001C5544" w:rsidP="0040360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3</w:t>
            </w:r>
          </w:p>
        </w:tc>
        <w:tc>
          <w:tcPr>
            <w:tcW w:w="3402" w:type="dxa"/>
          </w:tcPr>
          <w:p w14:paraId="73BF2B71" w14:textId="294DA9EC" w:rsidR="00555C56" w:rsidRPr="001C5544" w:rsidRDefault="001D6EAC" w:rsidP="001D6EAC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C</w:t>
            </w:r>
            <w:r w:rsidR="001C5544"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ountry cases</w:t>
            </w:r>
            <w:r w:rsidR="001C5544" w:rsidRPr="001C5544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652" w:type="dxa"/>
          </w:tcPr>
          <w:p w14:paraId="07F2771B" w14:textId="66B292A3" w:rsidR="00555C56" w:rsidRPr="001C5544" w:rsidRDefault="001C5544" w:rsidP="00403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1C5544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P</w:t>
            </w: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resentation of group discussions</w:t>
            </w:r>
          </w:p>
        </w:tc>
        <w:tc>
          <w:tcPr>
            <w:tcW w:w="1168" w:type="dxa"/>
          </w:tcPr>
          <w:p w14:paraId="7BCFED65" w14:textId="2DAAB469" w:rsidR="00555C56" w:rsidRPr="00F376B3" w:rsidRDefault="001C5544" w:rsidP="00403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30 minutes</w:t>
            </w:r>
            <w:r w:rsidR="00555C56" w:rsidRPr="00F376B3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</w:t>
            </w:r>
          </w:p>
        </w:tc>
      </w:tr>
      <w:tr w:rsidR="001C5544" w:rsidRPr="00F376B3" w14:paraId="5730ABEB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8B2254" w14:textId="548826A1" w:rsidR="001C5544" w:rsidRPr="00F376B3" w:rsidRDefault="001C5544" w:rsidP="0040360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4</w:t>
            </w:r>
          </w:p>
        </w:tc>
        <w:tc>
          <w:tcPr>
            <w:tcW w:w="3402" w:type="dxa"/>
          </w:tcPr>
          <w:p w14:paraId="7F25E93D" w14:textId="7DFA0BCC" w:rsidR="001C5544" w:rsidRPr="001C5544" w:rsidRDefault="001C5544" w:rsidP="001D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  <w:t xml:space="preserve">CLEWS: </w:t>
            </w:r>
            <w:r w:rsidR="001D6EAC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  <w:t>a</w:t>
            </w: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  <w:t>ssessing interlinkages</w:t>
            </w:r>
          </w:p>
        </w:tc>
        <w:tc>
          <w:tcPr>
            <w:tcW w:w="3652" w:type="dxa"/>
          </w:tcPr>
          <w:p w14:paraId="6C71C28B" w14:textId="2AD3A692" w:rsidR="001C5544" w:rsidRPr="00F376B3" w:rsidRDefault="001C5544" w:rsidP="00403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Presentation</w:t>
            </w:r>
          </w:p>
        </w:tc>
        <w:tc>
          <w:tcPr>
            <w:tcW w:w="1168" w:type="dxa"/>
          </w:tcPr>
          <w:p w14:paraId="63413239" w14:textId="013D1AC3" w:rsidR="001C5544" w:rsidRPr="00F376B3" w:rsidRDefault="001C5544" w:rsidP="00403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30 minutes</w:t>
            </w:r>
          </w:p>
        </w:tc>
      </w:tr>
      <w:tr w:rsidR="001C5544" w:rsidRPr="00F376B3" w14:paraId="2FC0DAC9" w14:textId="77777777" w:rsidTr="00D43DE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73A9D3" w14:textId="1ADB1D71" w:rsidR="001C5544" w:rsidRDefault="001C5544" w:rsidP="001C5544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5</w:t>
            </w:r>
          </w:p>
        </w:tc>
        <w:tc>
          <w:tcPr>
            <w:tcW w:w="3402" w:type="dxa"/>
            <w:vAlign w:val="bottom"/>
          </w:tcPr>
          <w:p w14:paraId="7946BE65" w14:textId="7CA380F9" w:rsidR="001C5544" w:rsidRP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Hands-on exercises with CLEWS: introduction to web</w:t>
            </w:r>
            <w:r w:rsidR="001D6EAC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tool</w:t>
            </w:r>
          </w:p>
        </w:tc>
        <w:tc>
          <w:tcPr>
            <w:tcW w:w="3652" w:type="dxa"/>
          </w:tcPr>
          <w:p w14:paraId="2A03121E" w14:textId="515B830F" w:rsid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Work in groups</w:t>
            </w:r>
          </w:p>
        </w:tc>
        <w:tc>
          <w:tcPr>
            <w:tcW w:w="1168" w:type="dxa"/>
          </w:tcPr>
          <w:p w14:paraId="52DAD241" w14:textId="7986B45F" w:rsid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15 minutes</w:t>
            </w:r>
          </w:p>
        </w:tc>
      </w:tr>
      <w:tr w:rsidR="001C5544" w:rsidRPr="00F376B3" w14:paraId="4229ABA7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gridSpan w:val="3"/>
            <w:vAlign w:val="center"/>
          </w:tcPr>
          <w:p w14:paraId="59A62E9D" w14:textId="2797D801" w:rsidR="001C5544" w:rsidRDefault="001C5544" w:rsidP="001C5544">
            <w:pPr>
              <w:jc w:val="center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Lunch </w:t>
            </w:r>
            <w:r w:rsidR="001D6EAC">
              <w:rPr>
                <w:rFonts w:asciiTheme="majorHAnsi" w:hAnsiTheme="majorHAnsi"/>
                <w:sz w:val="24"/>
                <w:szCs w:val="24"/>
                <w:lang w:val="en-GB"/>
              </w:rPr>
              <w:t>b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reak</w:t>
            </w:r>
          </w:p>
        </w:tc>
        <w:tc>
          <w:tcPr>
            <w:tcW w:w="1168" w:type="dxa"/>
          </w:tcPr>
          <w:p w14:paraId="575710BB" w14:textId="4810966A" w:rsidR="001C5544" w:rsidRDefault="001C5544" w:rsidP="001C5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60 minutes</w:t>
            </w:r>
          </w:p>
        </w:tc>
      </w:tr>
      <w:tr w:rsidR="001C5544" w:rsidRPr="00F376B3" w14:paraId="7AF431BF" w14:textId="77777777" w:rsidTr="00D43DE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535E6" w14:textId="2E9FBE65" w:rsidR="001C5544" w:rsidRDefault="001C5544" w:rsidP="001C5544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6</w:t>
            </w:r>
          </w:p>
        </w:tc>
        <w:tc>
          <w:tcPr>
            <w:tcW w:w="3402" w:type="dxa"/>
            <w:vAlign w:val="center"/>
          </w:tcPr>
          <w:p w14:paraId="7C818175" w14:textId="33228FB9" w:rsidR="001C5544" w:rsidRPr="001C5544" w:rsidRDefault="001C5544" w:rsidP="00DE7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Hands-on exercises with CLEWS</w:t>
            </w:r>
          </w:p>
        </w:tc>
        <w:tc>
          <w:tcPr>
            <w:tcW w:w="3652" w:type="dxa"/>
            <w:vAlign w:val="center"/>
          </w:tcPr>
          <w:p w14:paraId="0F505B98" w14:textId="4FF074A9" w:rsidR="001C5544" w:rsidRDefault="00DE766D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Work in groups</w:t>
            </w:r>
          </w:p>
        </w:tc>
        <w:tc>
          <w:tcPr>
            <w:tcW w:w="1168" w:type="dxa"/>
          </w:tcPr>
          <w:p w14:paraId="18D693E3" w14:textId="56B86A09" w:rsidR="001C5544" w:rsidRDefault="001D6EAC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90 minutes</w:t>
            </w:r>
          </w:p>
        </w:tc>
      </w:tr>
      <w:tr w:rsidR="001C5544" w:rsidRPr="00F376B3" w14:paraId="18F93A09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gridSpan w:val="3"/>
          </w:tcPr>
          <w:p w14:paraId="7C697D98" w14:textId="7BC8B1A9" w:rsidR="001C5544" w:rsidRDefault="001C5544" w:rsidP="001C5544">
            <w:pPr>
              <w:jc w:val="center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 xml:space="preserve">Coffee </w:t>
            </w:r>
            <w:r w:rsidR="001D6EAC">
              <w:rPr>
                <w:rFonts w:asciiTheme="majorHAnsi" w:hAnsiTheme="majorHAnsi"/>
                <w:sz w:val="24"/>
                <w:szCs w:val="24"/>
                <w:lang w:val="en-GB"/>
              </w:rPr>
              <w:t>b</w:t>
            </w:r>
            <w:r>
              <w:rPr>
                <w:rFonts w:asciiTheme="majorHAnsi" w:hAnsiTheme="majorHAnsi"/>
                <w:sz w:val="24"/>
                <w:szCs w:val="24"/>
                <w:lang w:val="en-GB"/>
              </w:rPr>
              <w:t>reak</w:t>
            </w:r>
          </w:p>
        </w:tc>
        <w:tc>
          <w:tcPr>
            <w:tcW w:w="1168" w:type="dxa"/>
          </w:tcPr>
          <w:p w14:paraId="76042B2C" w14:textId="7CF9B1F4" w:rsidR="001C5544" w:rsidRDefault="001C5544" w:rsidP="001C5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20 minutes</w:t>
            </w:r>
          </w:p>
        </w:tc>
      </w:tr>
      <w:tr w:rsidR="001C5544" w:rsidRPr="00F376B3" w14:paraId="7D24AF1B" w14:textId="77777777" w:rsidTr="00D43DE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1E4F10" w14:textId="026277B1" w:rsidR="001C5544" w:rsidRDefault="00D43DE5" w:rsidP="001C5544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7</w:t>
            </w:r>
          </w:p>
        </w:tc>
        <w:tc>
          <w:tcPr>
            <w:tcW w:w="3402" w:type="dxa"/>
            <w:vAlign w:val="center"/>
          </w:tcPr>
          <w:p w14:paraId="24CBC89E" w14:textId="5D548ACB" w:rsidR="001C5544" w:rsidRP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Report insights from work in groups </w:t>
            </w:r>
          </w:p>
        </w:tc>
        <w:tc>
          <w:tcPr>
            <w:tcW w:w="3652" w:type="dxa"/>
            <w:vAlign w:val="center"/>
          </w:tcPr>
          <w:p w14:paraId="38DC2AE4" w14:textId="214A8BFE" w:rsid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1C5544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P</w:t>
            </w: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resentation of group discussions</w:t>
            </w:r>
          </w:p>
        </w:tc>
        <w:tc>
          <w:tcPr>
            <w:tcW w:w="1168" w:type="dxa"/>
          </w:tcPr>
          <w:p w14:paraId="71665055" w14:textId="1C9C5B3D" w:rsidR="001C5544" w:rsidRDefault="001C5544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30 minutes</w:t>
            </w:r>
          </w:p>
        </w:tc>
      </w:tr>
      <w:tr w:rsidR="001C5544" w:rsidRPr="00F376B3" w14:paraId="11DDC8DF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B2DDED" w14:textId="70398460" w:rsidR="001C5544" w:rsidRDefault="00D43DE5" w:rsidP="001C5544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8</w:t>
            </w:r>
          </w:p>
        </w:tc>
        <w:tc>
          <w:tcPr>
            <w:tcW w:w="3402" w:type="dxa"/>
            <w:vAlign w:val="center"/>
          </w:tcPr>
          <w:p w14:paraId="48F8B6AC" w14:textId="0F5D64E4" w:rsidR="001C5544" w:rsidRPr="001C5544" w:rsidRDefault="001C5544" w:rsidP="00D4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val="en-GB" w:eastAsia="es-MX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Hands-on exercises with CLEWS</w:t>
            </w:r>
            <w:r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652" w:type="dxa"/>
            <w:vAlign w:val="center"/>
          </w:tcPr>
          <w:p w14:paraId="0884BBB4" w14:textId="32E7E942" w:rsidR="001C5544" w:rsidRDefault="001C5544" w:rsidP="00D4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Work in groups</w:t>
            </w:r>
          </w:p>
        </w:tc>
        <w:tc>
          <w:tcPr>
            <w:tcW w:w="1168" w:type="dxa"/>
          </w:tcPr>
          <w:p w14:paraId="6721AC59" w14:textId="0CF43BD3" w:rsidR="001C5544" w:rsidRDefault="001D6EAC" w:rsidP="001C5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90 minutes</w:t>
            </w:r>
          </w:p>
        </w:tc>
      </w:tr>
      <w:tr w:rsidR="00D43DE5" w:rsidRPr="00F376B3" w14:paraId="3E5A1DDE" w14:textId="77777777" w:rsidTr="00D43DE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E9918E" w14:textId="384046B1" w:rsidR="00D43DE5" w:rsidRDefault="00D43DE5" w:rsidP="001C5544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9</w:t>
            </w:r>
          </w:p>
        </w:tc>
        <w:tc>
          <w:tcPr>
            <w:tcW w:w="3402" w:type="dxa"/>
            <w:vAlign w:val="center"/>
          </w:tcPr>
          <w:p w14:paraId="2381B1A8" w14:textId="10A7BB96" w:rsidR="00D43DE5" w:rsidRPr="00D43DE5" w:rsidRDefault="00D43DE5" w:rsidP="00D43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</w:pP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 xml:space="preserve">Report insights from work in groups </w:t>
            </w:r>
          </w:p>
        </w:tc>
        <w:tc>
          <w:tcPr>
            <w:tcW w:w="3652" w:type="dxa"/>
            <w:vAlign w:val="center"/>
          </w:tcPr>
          <w:p w14:paraId="41892EEE" w14:textId="63103271" w:rsidR="00D43DE5" w:rsidRDefault="00D43DE5" w:rsidP="00D43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1C5544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P</w:t>
            </w:r>
            <w:r w:rsidRPr="00E5586A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  <w:lang w:eastAsia="es-MX"/>
              </w:rPr>
              <w:t>resentation of group discussions</w:t>
            </w:r>
          </w:p>
        </w:tc>
        <w:tc>
          <w:tcPr>
            <w:tcW w:w="1168" w:type="dxa"/>
          </w:tcPr>
          <w:p w14:paraId="46DA4371" w14:textId="0C62FFF1" w:rsidR="00D43DE5" w:rsidRDefault="00D43DE5" w:rsidP="001C5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sz w:val="24"/>
                <w:szCs w:val="24"/>
                <w:lang w:val="en-GB"/>
              </w:rPr>
              <w:t>30 minutes</w:t>
            </w:r>
          </w:p>
        </w:tc>
      </w:tr>
      <w:tr w:rsidR="001C5544" w:rsidRPr="00F376B3" w14:paraId="13BC33D3" w14:textId="77777777" w:rsidTr="00D4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gridSpan w:val="3"/>
            <w:vAlign w:val="center"/>
          </w:tcPr>
          <w:p w14:paraId="01402FD7" w14:textId="1F64F0E1" w:rsidR="001C5544" w:rsidRPr="008C27EA" w:rsidRDefault="001C5544" w:rsidP="001D6EAC">
            <w:pPr>
              <w:jc w:val="center"/>
              <w:rPr>
                <w:rFonts w:asciiTheme="majorHAnsi" w:hAnsiTheme="majorHAnsi"/>
                <w:sz w:val="24"/>
                <w:szCs w:val="24"/>
                <w:lang w:val="en-GB"/>
              </w:rPr>
            </w:pPr>
            <w:r w:rsidRPr="008C27EA">
              <w:rPr>
                <w:rFonts w:asciiTheme="majorHAnsi" w:hAnsiTheme="majorHAnsi"/>
                <w:sz w:val="24"/>
                <w:szCs w:val="24"/>
                <w:lang w:val="en-GB"/>
              </w:rPr>
              <w:t>Total time</w:t>
            </w:r>
            <w:r w:rsidR="00D43DE5">
              <w:rPr>
                <w:rFonts w:asciiTheme="majorHAnsi" w:hAnsiTheme="maj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68" w:type="dxa"/>
            <w:shd w:val="clear" w:color="auto" w:fill="4F81BD" w:themeFill="accent1"/>
          </w:tcPr>
          <w:p w14:paraId="1677F9F0" w14:textId="21B3BA40" w:rsidR="001C5544" w:rsidRPr="008C27EA" w:rsidRDefault="00D43DE5" w:rsidP="001C5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n-GB"/>
              </w:rPr>
              <w:t>7</w:t>
            </w:r>
            <w:r w:rsidR="001C5544" w:rsidRPr="008C27EA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n-GB"/>
              </w:rPr>
              <w:t xml:space="preserve"> hours</w:t>
            </w: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n-GB"/>
              </w:rPr>
              <w:t xml:space="preserve"> and 25 minutes</w:t>
            </w:r>
          </w:p>
        </w:tc>
      </w:tr>
    </w:tbl>
    <w:p w14:paraId="0762979A" w14:textId="77777777" w:rsidR="00750994" w:rsidRDefault="00750994">
      <w:r>
        <w:rPr>
          <w:b/>
          <w:bCs/>
        </w:rPr>
        <w:br w:type="page"/>
      </w:r>
    </w:p>
    <w:p w14:paraId="19B1869B" w14:textId="77777777" w:rsidR="00DC1A83" w:rsidRPr="00DC1A83" w:rsidRDefault="00DC1A83" w:rsidP="00DC1A83">
      <w:pPr>
        <w:pStyle w:val="Heading1"/>
        <w:rPr>
          <w:rFonts w:asciiTheme="majorHAnsi" w:hAnsiTheme="majorHAnsi"/>
          <w:b/>
          <w:sz w:val="28"/>
          <w:szCs w:val="28"/>
          <w:lang w:val="en-GB"/>
        </w:rPr>
      </w:pPr>
      <w:bookmarkStart w:id="22" w:name="_Toc468531163"/>
      <w:bookmarkStart w:id="23" w:name="_Toc468533870"/>
      <w:bookmarkStart w:id="24" w:name="_Toc478461728"/>
      <w:r w:rsidRPr="00DC1A83">
        <w:rPr>
          <w:rFonts w:asciiTheme="majorHAnsi" w:hAnsiTheme="majorHAnsi"/>
          <w:b/>
          <w:sz w:val="28"/>
          <w:szCs w:val="28"/>
          <w:lang w:val="en-GB"/>
        </w:rPr>
        <w:lastRenderedPageBreak/>
        <w:t>References</w:t>
      </w:r>
      <w:bookmarkEnd w:id="22"/>
      <w:bookmarkEnd w:id="23"/>
      <w:bookmarkEnd w:id="24"/>
    </w:p>
    <w:p w14:paraId="4A85A0E1" w14:textId="702B1145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Bazilian</w:t>
      </w:r>
      <w:r w:rsidR="00017E21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M</w:t>
      </w:r>
      <w:r w:rsidR="00017E21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H. H.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Rogner</w:t>
      </w:r>
      <w:proofErr w:type="spellEnd"/>
      <w:r w:rsidR="00017E21">
        <w:rPr>
          <w:rFonts w:asciiTheme="majorHAnsi" w:hAnsiTheme="majorHAnsi"/>
          <w:sz w:val="24"/>
          <w:szCs w:val="24"/>
          <w:lang w:val="en-GB"/>
        </w:rPr>
        <w:t>, M.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Howells, 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S. </w:t>
      </w:r>
      <w:r w:rsidRPr="00F376B3">
        <w:rPr>
          <w:rFonts w:asciiTheme="majorHAnsi" w:hAnsiTheme="majorHAnsi"/>
          <w:sz w:val="24"/>
          <w:szCs w:val="24"/>
          <w:lang w:val="en-GB"/>
        </w:rPr>
        <w:t>Hermann,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 D.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Arent</w:t>
      </w:r>
      <w:proofErr w:type="spellEnd"/>
      <w:r w:rsidR="00017E21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D</w:t>
      </w:r>
      <w:r w:rsidR="00017E21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Gielen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P.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Steduto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A. </w:t>
      </w:r>
      <w:r w:rsidRPr="00F376B3">
        <w:rPr>
          <w:rFonts w:asciiTheme="majorHAnsi" w:hAnsiTheme="majorHAnsi"/>
          <w:sz w:val="24"/>
          <w:szCs w:val="24"/>
          <w:lang w:val="en-GB"/>
        </w:rPr>
        <w:t>Müller</w:t>
      </w:r>
      <w:r w:rsidR="00017E21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17E21">
        <w:rPr>
          <w:rFonts w:asciiTheme="majorHAnsi" w:hAnsiTheme="majorHAnsi"/>
          <w:sz w:val="24"/>
          <w:szCs w:val="24"/>
          <w:lang w:val="en-GB"/>
        </w:rPr>
        <w:t>P.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Komor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017E21">
        <w:rPr>
          <w:rFonts w:asciiTheme="majorHAnsi" w:hAnsiTheme="majorHAnsi"/>
          <w:sz w:val="24"/>
          <w:szCs w:val="24"/>
          <w:lang w:val="en-GB"/>
        </w:rPr>
        <w:t xml:space="preserve">S. J.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Tol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 and K</w:t>
      </w:r>
      <w:r w:rsidR="00017E21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Yumkella (2011). </w:t>
      </w:r>
      <w:r w:rsidR="00017E21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Considering the energy, water and food nexus: Towards an integrated modelling approach.</w:t>
      </w:r>
      <w:r w:rsidR="00017E21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F376B3">
        <w:rPr>
          <w:rFonts w:asciiTheme="majorHAnsi" w:hAnsiTheme="majorHAnsi"/>
          <w:i/>
          <w:sz w:val="24"/>
          <w:szCs w:val="24"/>
          <w:lang w:val="en-GB"/>
        </w:rPr>
        <w:t>Energy Policy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D17CF8">
        <w:rPr>
          <w:rFonts w:asciiTheme="majorHAnsi" w:hAnsiTheme="majorHAnsi"/>
          <w:sz w:val="24"/>
          <w:szCs w:val="24"/>
          <w:lang w:val="en-GB"/>
        </w:rPr>
        <w:t>39</w:t>
      </w:r>
      <w:r w:rsidR="009169D7" w:rsidRPr="007B293C">
        <w:rPr>
          <w:rFonts w:asciiTheme="majorHAnsi" w:hAnsiTheme="majorHAnsi"/>
          <w:sz w:val="24"/>
          <w:szCs w:val="24"/>
          <w:lang w:val="en-GB"/>
        </w:rPr>
        <w:t>:</w:t>
      </w:r>
      <w:r w:rsidRPr="007B293C">
        <w:rPr>
          <w:rFonts w:asciiTheme="majorHAnsi" w:hAnsiTheme="majorHAnsi"/>
          <w:sz w:val="24"/>
          <w:szCs w:val="24"/>
          <w:lang w:val="en-GB"/>
        </w:rPr>
        <w:t xml:space="preserve"> 7896</w:t>
      </w:r>
      <w:r w:rsidRPr="00F376B3">
        <w:rPr>
          <w:rFonts w:asciiTheme="majorHAnsi" w:hAnsiTheme="majorHAnsi"/>
          <w:sz w:val="24"/>
          <w:szCs w:val="24"/>
          <w:lang w:val="en-GB"/>
        </w:rPr>
        <w:t>–7906. doi:10.1016/j.enpol.2011.09.039.</w:t>
      </w:r>
    </w:p>
    <w:p w14:paraId="0379B6E7" w14:textId="76BF1277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California Energy Commission</w:t>
      </w:r>
      <w:r w:rsidR="009169D7">
        <w:rPr>
          <w:rFonts w:asciiTheme="majorHAnsi" w:hAnsiTheme="majorHAnsi"/>
          <w:sz w:val="24"/>
          <w:szCs w:val="24"/>
          <w:lang w:val="en-GB"/>
        </w:rPr>
        <w:t xml:space="preserve"> (</w:t>
      </w:r>
      <w:r w:rsidRPr="00F376B3">
        <w:rPr>
          <w:rFonts w:asciiTheme="majorHAnsi" w:hAnsiTheme="majorHAnsi"/>
          <w:sz w:val="24"/>
          <w:szCs w:val="24"/>
          <w:lang w:val="en-GB"/>
        </w:rPr>
        <w:t>2011</w:t>
      </w:r>
      <w:r w:rsidR="009169D7">
        <w:rPr>
          <w:rFonts w:asciiTheme="majorHAnsi" w:hAnsiTheme="majorHAnsi"/>
          <w:sz w:val="24"/>
          <w:szCs w:val="24"/>
          <w:lang w:val="en-GB"/>
        </w:rPr>
        <w:t>)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. </w:t>
      </w:r>
      <w:r w:rsidRPr="00D17CF8">
        <w:rPr>
          <w:rFonts w:asciiTheme="majorHAnsi" w:hAnsiTheme="majorHAnsi"/>
          <w:i/>
          <w:sz w:val="24"/>
          <w:szCs w:val="24"/>
          <w:lang w:val="en-GB"/>
        </w:rPr>
        <w:t>Energy Aware Planning Guide.</w:t>
      </w:r>
    </w:p>
    <w:p w14:paraId="6F6A6341" w14:textId="418F6B7E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Elferink</w:t>
      </w:r>
      <w:r w:rsidR="009169D7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M</w:t>
      </w:r>
      <w:r w:rsidR="009169D7">
        <w:rPr>
          <w:rFonts w:asciiTheme="majorHAnsi" w:hAnsiTheme="majorHAnsi"/>
          <w:sz w:val="24"/>
          <w:szCs w:val="24"/>
          <w:lang w:val="en-GB"/>
        </w:rPr>
        <w:t>.,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and F</w:t>
      </w:r>
      <w:r w:rsidR="009169D7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Schierhor (2016). </w:t>
      </w:r>
      <w:r w:rsidR="009169D7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Global Demand for Food Is Rising. Can We Meet It?</w:t>
      </w:r>
      <w:r w:rsidR="009169D7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D17CF8">
        <w:rPr>
          <w:rFonts w:asciiTheme="majorHAnsi" w:hAnsiTheme="majorHAnsi"/>
          <w:i/>
          <w:sz w:val="24"/>
          <w:szCs w:val="24"/>
          <w:lang w:val="en-GB"/>
        </w:rPr>
        <w:t>Harvard Business Review</w:t>
      </w:r>
      <w:r w:rsidR="009169D7">
        <w:rPr>
          <w:rFonts w:asciiTheme="majorHAnsi" w:hAnsiTheme="majorHAnsi"/>
          <w:i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7 April. </w:t>
      </w:r>
      <w:r w:rsidR="009169D7">
        <w:rPr>
          <w:rFonts w:asciiTheme="majorHAnsi" w:hAnsiTheme="majorHAnsi"/>
          <w:sz w:val="24"/>
          <w:szCs w:val="24"/>
          <w:lang w:val="en-GB"/>
        </w:rPr>
        <w:t xml:space="preserve">Available at </w:t>
      </w:r>
      <w:r w:rsidRPr="00F376B3">
        <w:rPr>
          <w:rFonts w:asciiTheme="majorHAnsi" w:hAnsiTheme="majorHAnsi"/>
          <w:sz w:val="24"/>
          <w:szCs w:val="24"/>
          <w:lang w:val="en-GB"/>
        </w:rPr>
        <w:t>https://hbr.org/2016/04/global-demand-for-food-is-rising-can-we-meet-it</w:t>
      </w:r>
      <w:r w:rsidR="009169D7">
        <w:rPr>
          <w:rFonts w:asciiTheme="majorHAnsi" w:hAnsiTheme="majorHAnsi"/>
          <w:sz w:val="24"/>
          <w:szCs w:val="24"/>
          <w:lang w:val="en-GB"/>
        </w:rPr>
        <w:t>.</w:t>
      </w:r>
    </w:p>
    <w:p w14:paraId="5F6E9C50" w14:textId="130F2E83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Food and Agriculture Organization</w:t>
      </w:r>
      <w:r w:rsidR="009169D7">
        <w:rPr>
          <w:rFonts w:asciiTheme="majorHAnsi" w:hAnsiTheme="majorHAnsi"/>
          <w:sz w:val="24"/>
          <w:szCs w:val="24"/>
          <w:lang w:val="en-GB"/>
        </w:rPr>
        <w:t xml:space="preserve"> (</w:t>
      </w:r>
      <w:r w:rsidRPr="00F376B3">
        <w:rPr>
          <w:rFonts w:asciiTheme="majorHAnsi" w:hAnsiTheme="majorHAnsi"/>
          <w:sz w:val="24"/>
          <w:szCs w:val="24"/>
          <w:lang w:val="en-GB"/>
        </w:rPr>
        <w:t>2012</w:t>
      </w:r>
      <w:r w:rsidR="009169D7">
        <w:rPr>
          <w:rFonts w:asciiTheme="majorHAnsi" w:hAnsiTheme="majorHAnsi"/>
          <w:sz w:val="24"/>
          <w:szCs w:val="24"/>
          <w:lang w:val="en-GB"/>
        </w:rPr>
        <w:t>)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. </w:t>
      </w:r>
      <w:r w:rsidR="007B293C">
        <w:rPr>
          <w:rFonts w:asciiTheme="majorHAnsi" w:hAnsiTheme="majorHAnsi"/>
          <w:sz w:val="24"/>
          <w:szCs w:val="24"/>
          <w:lang w:val="en-GB"/>
        </w:rPr>
        <w:t>“World Agriculture To</w:t>
      </w:r>
      <w:r w:rsidR="009169D7">
        <w:rPr>
          <w:rFonts w:asciiTheme="majorHAnsi" w:hAnsiTheme="majorHAnsi"/>
          <w:sz w:val="24"/>
          <w:szCs w:val="24"/>
          <w:lang w:val="en-GB"/>
        </w:rPr>
        <w:t>wards 2030/2050.”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ESA Working Paper No. 12-03</w:t>
      </w:r>
      <w:r w:rsidR="009169D7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Rome.</w:t>
      </w:r>
    </w:p>
    <w:p w14:paraId="316F91E3" w14:textId="453F6760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Heaps</w:t>
      </w:r>
      <w:r w:rsidR="009169D7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C</w:t>
      </w:r>
      <w:r w:rsidR="009169D7">
        <w:rPr>
          <w:rFonts w:asciiTheme="majorHAnsi" w:hAnsiTheme="majorHAnsi"/>
          <w:sz w:val="24"/>
          <w:szCs w:val="24"/>
          <w:lang w:val="en-GB"/>
        </w:rPr>
        <w:t xml:space="preserve">. </w:t>
      </w:r>
      <w:r w:rsidRPr="00F376B3">
        <w:rPr>
          <w:rFonts w:asciiTheme="majorHAnsi" w:hAnsiTheme="majorHAnsi"/>
          <w:sz w:val="24"/>
          <w:szCs w:val="24"/>
          <w:lang w:val="en-GB"/>
        </w:rPr>
        <w:t>G</w:t>
      </w:r>
      <w:r w:rsidR="009169D7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(2012). </w:t>
      </w:r>
      <w:r w:rsidR="009169D7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Long-range Energy Alternatives Planning (LEAP) system.</w:t>
      </w:r>
      <w:r w:rsidR="009169D7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Stockholm</w:t>
      </w:r>
      <w:r w:rsidR="007B293C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14:paraId="35A00E26" w14:textId="14F10F46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Hertel</w:t>
      </w:r>
      <w:r w:rsidR="009169D7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T</w:t>
      </w:r>
      <w:r w:rsidR="009169D7">
        <w:rPr>
          <w:rFonts w:asciiTheme="majorHAnsi" w:hAnsiTheme="majorHAnsi"/>
          <w:sz w:val="24"/>
          <w:szCs w:val="24"/>
          <w:lang w:val="en-GB"/>
        </w:rPr>
        <w:t xml:space="preserve">. </w:t>
      </w:r>
      <w:r w:rsidRPr="00F376B3">
        <w:rPr>
          <w:rFonts w:asciiTheme="majorHAnsi" w:hAnsiTheme="majorHAnsi"/>
          <w:sz w:val="24"/>
          <w:szCs w:val="24"/>
          <w:lang w:val="en-GB"/>
        </w:rPr>
        <w:t>W</w:t>
      </w:r>
      <w:r w:rsidR="009169D7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(2010). </w:t>
      </w:r>
      <w:r w:rsidR="00C24F22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The Global Supply and Demand for Agricultural Land in 2050: A Perfect Storm in the Making?</w:t>
      </w:r>
      <w:r w:rsidR="00C24F22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GTAP Working Paper No. 63</w:t>
      </w:r>
      <w:r w:rsidR="00C24F22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Indiana: </w:t>
      </w:r>
      <w:r w:rsidRPr="00F376B3">
        <w:rPr>
          <w:rFonts w:asciiTheme="majorHAnsi" w:hAnsiTheme="majorHAnsi"/>
          <w:sz w:val="24"/>
          <w:szCs w:val="24"/>
          <w:lang w:val="en-GB"/>
        </w:rPr>
        <w:t>Purdue University.</w:t>
      </w:r>
    </w:p>
    <w:p w14:paraId="584B9FB2" w14:textId="60D1F2BE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International Institute for Applied Systems Analysis and Food and Agriculture Organization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 (</w:t>
      </w:r>
      <w:r w:rsidRPr="00F376B3">
        <w:rPr>
          <w:rFonts w:asciiTheme="majorHAnsi" w:hAnsiTheme="majorHAnsi"/>
          <w:sz w:val="24"/>
          <w:szCs w:val="24"/>
          <w:lang w:val="en-GB"/>
        </w:rPr>
        <w:t>2012</w:t>
      </w:r>
      <w:r w:rsidR="00C24F22">
        <w:rPr>
          <w:rFonts w:asciiTheme="majorHAnsi" w:hAnsiTheme="majorHAnsi"/>
          <w:sz w:val="24"/>
          <w:szCs w:val="24"/>
          <w:lang w:val="en-GB"/>
        </w:rPr>
        <w:t>).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24F22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Global Agro-ecological Zones (GAEZ v3.0).</w:t>
      </w:r>
      <w:r w:rsidR="00C24F22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Luxemburg, Austria and Rome.</w:t>
      </w:r>
    </w:p>
    <w:p w14:paraId="683A599C" w14:textId="398C8088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 w:rsidRPr="00F376B3">
        <w:rPr>
          <w:rFonts w:asciiTheme="majorHAnsi" w:hAnsiTheme="majorHAnsi"/>
          <w:sz w:val="24"/>
          <w:szCs w:val="24"/>
          <w:lang w:val="en-GB"/>
        </w:rPr>
        <w:t>International Water Management Institute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 (</w:t>
      </w:r>
      <w:r w:rsidRPr="00F376B3">
        <w:rPr>
          <w:rFonts w:asciiTheme="majorHAnsi" w:hAnsiTheme="majorHAnsi"/>
          <w:sz w:val="24"/>
          <w:szCs w:val="24"/>
          <w:lang w:val="en-GB"/>
        </w:rPr>
        <w:t>2008</w:t>
      </w:r>
      <w:r w:rsidR="00C24F22">
        <w:rPr>
          <w:rFonts w:asciiTheme="majorHAnsi" w:hAnsiTheme="majorHAnsi"/>
          <w:sz w:val="24"/>
          <w:szCs w:val="24"/>
          <w:lang w:val="en-GB"/>
        </w:rPr>
        <w:t>)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. </w:t>
      </w:r>
      <w:r w:rsidR="00C24F22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Water Policy Brief.</w:t>
      </w:r>
      <w:r w:rsidR="00C24F22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Colombo.</w:t>
      </w:r>
    </w:p>
    <w:p w14:paraId="218CAFBB" w14:textId="2870D3CE" w:rsidR="00DC1A83" w:rsidRPr="00F376B3" w:rsidRDefault="00DC1A83" w:rsidP="00DC1A83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Rulli</w:t>
      </w:r>
      <w:proofErr w:type="spellEnd"/>
      <w:r w:rsidR="00C24F22">
        <w:rPr>
          <w:rFonts w:asciiTheme="majorHAnsi" w:hAnsiTheme="majorHAnsi"/>
          <w:sz w:val="24"/>
          <w:szCs w:val="24"/>
          <w:lang w:val="en-GB"/>
        </w:rPr>
        <w:t>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M</w:t>
      </w:r>
      <w:r w:rsidR="00C24F22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>C</w:t>
      </w:r>
      <w:r w:rsidR="00C24F22">
        <w:rPr>
          <w:rFonts w:asciiTheme="majorHAnsi" w:hAnsiTheme="majorHAnsi"/>
          <w:sz w:val="24"/>
          <w:szCs w:val="24"/>
          <w:lang w:val="en-GB"/>
        </w:rPr>
        <w:t>.,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D.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Bellomi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A.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Cazzoli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, 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G. 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De </w:t>
      </w:r>
      <w:proofErr w:type="spellStart"/>
      <w:r w:rsidRPr="00F376B3">
        <w:rPr>
          <w:rFonts w:asciiTheme="majorHAnsi" w:hAnsiTheme="majorHAnsi"/>
          <w:sz w:val="24"/>
          <w:szCs w:val="24"/>
          <w:lang w:val="en-GB"/>
        </w:rPr>
        <w:t>Carolis</w:t>
      </w:r>
      <w:proofErr w:type="spellEnd"/>
      <w:r w:rsidRPr="00F376B3">
        <w:rPr>
          <w:rFonts w:asciiTheme="majorHAnsi" w:hAnsiTheme="majorHAnsi"/>
          <w:sz w:val="24"/>
          <w:szCs w:val="24"/>
          <w:lang w:val="en-GB"/>
        </w:rPr>
        <w:t xml:space="preserve"> and P</w:t>
      </w:r>
      <w:r w:rsidR="00C24F22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D’Odoric </w:t>
      </w:r>
      <w:r w:rsidR="00C24F22">
        <w:rPr>
          <w:rFonts w:asciiTheme="majorHAnsi" w:hAnsiTheme="majorHAnsi"/>
          <w:sz w:val="24"/>
          <w:szCs w:val="24"/>
          <w:lang w:val="en-GB"/>
        </w:rPr>
        <w:t>(</w:t>
      </w:r>
      <w:r w:rsidRPr="00F376B3">
        <w:rPr>
          <w:rFonts w:asciiTheme="majorHAnsi" w:hAnsiTheme="majorHAnsi"/>
          <w:sz w:val="24"/>
          <w:szCs w:val="24"/>
          <w:lang w:val="en-GB"/>
        </w:rPr>
        <w:t>2016</w:t>
      </w:r>
      <w:r w:rsidR="00C24F22">
        <w:rPr>
          <w:rFonts w:asciiTheme="majorHAnsi" w:hAnsiTheme="majorHAnsi"/>
          <w:sz w:val="24"/>
          <w:szCs w:val="24"/>
          <w:lang w:val="en-GB"/>
        </w:rPr>
        <w:t>)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. </w:t>
      </w:r>
      <w:r w:rsidR="00C24F22">
        <w:rPr>
          <w:rFonts w:asciiTheme="majorHAnsi" w:hAnsiTheme="majorHAnsi"/>
          <w:sz w:val="24"/>
          <w:szCs w:val="24"/>
          <w:lang w:val="en-GB"/>
        </w:rPr>
        <w:t>“</w:t>
      </w:r>
      <w:r w:rsidRPr="00F376B3">
        <w:rPr>
          <w:rFonts w:asciiTheme="majorHAnsi" w:hAnsiTheme="majorHAnsi"/>
          <w:sz w:val="24"/>
          <w:szCs w:val="24"/>
          <w:lang w:val="en-GB"/>
        </w:rPr>
        <w:t>The water-land-food nexus of first generation biofuels.</w:t>
      </w:r>
      <w:r w:rsidR="00C24F22">
        <w:rPr>
          <w:rFonts w:asciiTheme="majorHAnsi" w:hAnsiTheme="majorHAnsi"/>
          <w:sz w:val="24"/>
          <w:szCs w:val="24"/>
          <w:lang w:val="en-GB"/>
        </w:rPr>
        <w:t>”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F376B3">
        <w:rPr>
          <w:rFonts w:asciiTheme="majorHAnsi" w:hAnsiTheme="majorHAnsi"/>
          <w:i/>
          <w:sz w:val="24"/>
          <w:szCs w:val="24"/>
          <w:lang w:val="en-GB"/>
        </w:rPr>
        <w:t>Sci</w:t>
      </w:r>
      <w:r w:rsidR="00C6723A">
        <w:rPr>
          <w:rFonts w:asciiTheme="majorHAnsi" w:hAnsiTheme="majorHAnsi"/>
          <w:i/>
          <w:sz w:val="24"/>
          <w:szCs w:val="24"/>
          <w:lang w:val="en-GB"/>
        </w:rPr>
        <w:t>entific</w:t>
      </w:r>
      <w:r w:rsidRPr="00F376B3">
        <w:rPr>
          <w:rFonts w:asciiTheme="majorHAnsi" w:hAnsiTheme="majorHAnsi"/>
          <w:i/>
          <w:sz w:val="24"/>
          <w:szCs w:val="24"/>
          <w:lang w:val="en-GB"/>
        </w:rPr>
        <w:t xml:space="preserve"> Rep</w:t>
      </w:r>
      <w:r w:rsidR="00C6723A">
        <w:rPr>
          <w:rFonts w:asciiTheme="majorHAnsi" w:hAnsiTheme="majorHAnsi"/>
          <w:i/>
          <w:sz w:val="24"/>
          <w:szCs w:val="24"/>
          <w:lang w:val="en-GB"/>
        </w:rPr>
        <w:t>orts</w:t>
      </w:r>
      <w:r w:rsidRPr="00F376B3">
        <w:rPr>
          <w:rFonts w:asciiTheme="majorHAnsi" w:hAnsiTheme="majorHAnsi"/>
          <w:i/>
          <w:sz w:val="24"/>
          <w:szCs w:val="24"/>
          <w:lang w:val="en-GB"/>
        </w:rPr>
        <w:t xml:space="preserve"> </w:t>
      </w:r>
      <w:r w:rsidRPr="00D17CF8">
        <w:rPr>
          <w:rFonts w:asciiTheme="majorHAnsi" w:hAnsiTheme="majorHAnsi"/>
          <w:sz w:val="24"/>
          <w:szCs w:val="24"/>
          <w:lang w:val="en-GB"/>
        </w:rPr>
        <w:t>6, 22521</w:t>
      </w:r>
      <w:r w:rsidR="00C24F22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i/>
          <w:sz w:val="24"/>
          <w:szCs w:val="24"/>
          <w:lang w:val="en-GB"/>
        </w:rPr>
        <w:t xml:space="preserve"> </w:t>
      </w:r>
      <w:r w:rsidRPr="00D17CF8">
        <w:rPr>
          <w:rFonts w:asciiTheme="majorHAnsi" w:hAnsiTheme="majorHAnsi"/>
          <w:sz w:val="24"/>
          <w:szCs w:val="24"/>
          <w:lang w:val="en-GB"/>
        </w:rPr>
        <w:t>doi: 10.1038/srep22521</w:t>
      </w:r>
      <w:r w:rsidRPr="00C24F22">
        <w:rPr>
          <w:rFonts w:asciiTheme="majorHAnsi" w:hAnsiTheme="majorHAnsi"/>
          <w:sz w:val="24"/>
          <w:szCs w:val="24"/>
          <w:lang w:val="en-GB"/>
        </w:rPr>
        <w:t>.</w:t>
      </w:r>
      <w:r w:rsidRPr="00F376B3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24F22">
        <w:rPr>
          <w:rFonts w:asciiTheme="majorHAnsi" w:hAnsiTheme="majorHAnsi"/>
          <w:sz w:val="24"/>
          <w:szCs w:val="24"/>
          <w:lang w:val="en-GB"/>
        </w:rPr>
        <w:t xml:space="preserve">Available at </w:t>
      </w:r>
      <w:r w:rsidRPr="00F376B3">
        <w:rPr>
          <w:rFonts w:asciiTheme="majorHAnsi" w:hAnsiTheme="majorHAnsi"/>
          <w:sz w:val="24"/>
          <w:szCs w:val="24"/>
          <w:lang w:val="en-GB"/>
        </w:rPr>
        <w:t>http://www.nature.com/articles/srep22521</w:t>
      </w:r>
    </w:p>
    <w:p w14:paraId="05BC2AAF" w14:textId="77777777" w:rsidR="00ED186B" w:rsidRPr="00F376B3" w:rsidRDefault="00ED186B" w:rsidP="00ED186B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World Economic Forum (</w:t>
      </w:r>
      <w:r w:rsidRPr="00F376B3">
        <w:rPr>
          <w:rFonts w:asciiTheme="majorHAnsi" w:hAnsiTheme="majorHAnsi"/>
          <w:sz w:val="24"/>
          <w:szCs w:val="24"/>
          <w:lang w:val="en-GB"/>
        </w:rPr>
        <w:t>2011</w:t>
      </w:r>
      <w:r>
        <w:rPr>
          <w:rFonts w:asciiTheme="majorHAnsi" w:hAnsiTheme="majorHAnsi"/>
          <w:sz w:val="24"/>
          <w:szCs w:val="24"/>
          <w:lang w:val="en-GB"/>
        </w:rPr>
        <w:t xml:space="preserve">). </w:t>
      </w:r>
      <w:r w:rsidRPr="00107090">
        <w:rPr>
          <w:rFonts w:asciiTheme="majorHAnsi" w:hAnsiTheme="majorHAnsi"/>
          <w:i/>
          <w:sz w:val="24"/>
          <w:szCs w:val="24"/>
          <w:lang w:val="en-GB"/>
        </w:rPr>
        <w:t xml:space="preserve">Water Security—The Water-Food-Energy-Climate Nexus. </w:t>
      </w:r>
      <w:r>
        <w:rPr>
          <w:rFonts w:asciiTheme="majorHAnsi" w:hAnsiTheme="majorHAnsi"/>
          <w:sz w:val="24"/>
          <w:szCs w:val="24"/>
          <w:lang w:val="en-GB"/>
        </w:rPr>
        <w:t>Washington, DC: Island Press</w:t>
      </w:r>
      <w:r w:rsidRPr="00F376B3">
        <w:rPr>
          <w:rFonts w:asciiTheme="majorHAnsi" w:hAnsiTheme="majorHAnsi"/>
          <w:sz w:val="24"/>
          <w:szCs w:val="24"/>
          <w:lang w:val="en-GB"/>
        </w:rPr>
        <w:t>.</w:t>
      </w:r>
    </w:p>
    <w:p w14:paraId="2D3E6EA7" w14:textId="37F62F3B" w:rsidR="00DC1A83" w:rsidRPr="00F376B3" w:rsidRDefault="00DC1A83" w:rsidP="00ED186B">
      <w:pPr>
        <w:ind w:left="720" w:hanging="720"/>
        <w:rPr>
          <w:rFonts w:asciiTheme="majorHAnsi" w:hAnsiTheme="majorHAnsi"/>
          <w:sz w:val="24"/>
          <w:szCs w:val="24"/>
          <w:lang w:val="en-GB"/>
        </w:rPr>
      </w:pPr>
    </w:p>
    <w:sectPr w:rsidR="00DC1A83" w:rsidRPr="00F376B3" w:rsidSect="00945FCB">
      <w:headerReference w:type="default" r:id="rId11"/>
      <w:footerReference w:type="default" r:id="rId12"/>
      <w:pgSz w:w="12240" w:h="15840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1E1F5" w14:textId="77777777" w:rsidR="000F0F32" w:rsidRDefault="000F0F32" w:rsidP="0038412E">
      <w:pPr>
        <w:spacing w:after="0"/>
      </w:pPr>
      <w:r>
        <w:separator/>
      </w:r>
    </w:p>
  </w:endnote>
  <w:endnote w:type="continuationSeparator" w:id="0">
    <w:p w14:paraId="795EB2DA" w14:textId="77777777" w:rsidR="000F0F32" w:rsidRDefault="000F0F32" w:rsidP="00384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panose1 w:val="02020502060506020403"/>
    <w:charset w:val="4D"/>
    <w:family w:val="roman"/>
    <w:pitch w:val="variable"/>
    <w:sig w:usb0="00000007" w:usb1="00000001" w:usb2="00000000" w:usb3="00000000" w:csb0="00000093" w:csb1="00000000"/>
  </w:font>
  <w:font w:name="Myriad Pro SemiCond">
    <w:altName w:val="Segoe UI"/>
    <w:panose1 w:val="020B0503030403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43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003"/>
      <w:gridCol w:w="674"/>
      <w:gridCol w:w="79"/>
    </w:tblGrid>
    <w:tr w:rsidR="00F972AF" w14:paraId="099C32D6" w14:textId="77777777" w:rsidTr="00945FCB">
      <w:trPr>
        <w:trHeight w:hRule="exact" w:val="624"/>
      </w:trPr>
      <w:tc>
        <w:tcPr>
          <w:tcW w:w="890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7BBD748A" w14:textId="04116553" w:rsidR="00F972AF" w:rsidRPr="00945FCB" w:rsidRDefault="00F972AF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  <w:r w:rsidRPr="00945FCB">
            <w:rPr>
              <w:rFonts w:ascii="Cambria" w:hAnsi="Cambria"/>
              <w:color w:val="FFFFFF" w:themeColor="background1"/>
            </w:rPr>
            <w:t xml:space="preserve">MODULE </w:t>
          </w:r>
          <w:r w:rsidR="00AD331C">
            <w:rPr>
              <w:rFonts w:ascii="Cambria" w:hAnsi="Cambria"/>
              <w:color w:val="FFFFFF" w:themeColor="background1"/>
            </w:rPr>
            <w:t>CLEWS</w:t>
          </w:r>
          <w:r w:rsidR="00DC1A83">
            <w:rPr>
              <w:rFonts w:ascii="Cambria" w:hAnsi="Cambria"/>
              <w:color w:val="FFFFFF" w:themeColor="background1"/>
            </w:rPr>
            <w:t xml:space="preserve"> Country</w:t>
          </w:r>
          <w:r w:rsidR="00AD331C">
            <w:rPr>
              <w:rFonts w:ascii="Cambria" w:hAnsi="Cambria"/>
              <w:color w:val="FFFFFF" w:themeColor="background1"/>
            </w:rPr>
            <w:t xml:space="preserve"> </w:t>
          </w:r>
          <w:r w:rsidR="0015649A">
            <w:rPr>
              <w:rFonts w:ascii="Cambria" w:hAnsi="Cambria"/>
              <w:color w:val="FFFFFF" w:themeColor="background1"/>
            </w:rPr>
            <w:t>Learning Guide</w:t>
          </w:r>
        </w:p>
      </w:tc>
      <w:tc>
        <w:tcPr>
          <w:tcW w:w="768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2E2CD961" w14:textId="77777777" w:rsidR="00F972AF" w:rsidRDefault="00F972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72AF" w14:paraId="53A805CC" w14:textId="77777777" w:rsidTr="00945FCB">
      <w:trPr>
        <w:gridAfter w:val="1"/>
        <w:wAfter w:w="81" w:type="dxa"/>
        <w:trHeight w:val="640"/>
      </w:trPr>
      <w:tc>
        <w:tcPr>
          <w:tcW w:w="4795" w:type="dxa"/>
          <w:shd w:val="clear" w:color="auto" w:fill="auto"/>
          <w:vAlign w:val="center"/>
        </w:tcPr>
        <w:p w14:paraId="4856F1FD" w14:textId="2B06B71E" w:rsidR="00F972AF" w:rsidRDefault="00F972AF" w:rsidP="000C2A34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796" w:type="dxa"/>
          <w:gridSpan w:val="2"/>
          <w:shd w:val="clear" w:color="auto" w:fill="auto"/>
          <w:vAlign w:val="center"/>
        </w:tcPr>
        <w:p w14:paraId="4A8E643B" w14:textId="66FA35CF" w:rsidR="00F972AF" w:rsidRPr="000C2A34" w:rsidRDefault="00F972AF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Theme="majorHAnsi" w:hAnsiTheme="majorHAnsi"/>
              <w:caps/>
              <w:color w:val="808080" w:themeColor="background1" w:themeShade="80"/>
              <w:sz w:val="28"/>
              <w:szCs w:val="28"/>
            </w:rPr>
          </w:pPr>
          <w:r w:rsidRPr="000C2A34">
            <w:rPr>
              <w:rFonts w:asciiTheme="majorHAnsi" w:hAnsiTheme="majorHAnsi"/>
              <w:caps/>
              <w:color w:val="808080" w:themeColor="background1" w:themeShade="80"/>
              <w:sz w:val="28"/>
              <w:szCs w:val="28"/>
            </w:rPr>
            <w:fldChar w:fldCharType="begin"/>
          </w:r>
          <w:r w:rsidRPr="000C2A34">
            <w:rPr>
              <w:rFonts w:asciiTheme="majorHAnsi" w:hAnsiTheme="majorHAnsi"/>
              <w:caps/>
              <w:color w:val="808080" w:themeColor="background1" w:themeShade="80"/>
              <w:sz w:val="28"/>
              <w:szCs w:val="28"/>
            </w:rPr>
            <w:instrText>PAGE   \* MERGEFORMAT</w:instrText>
          </w:r>
          <w:r w:rsidRPr="000C2A34">
            <w:rPr>
              <w:rFonts w:asciiTheme="majorHAnsi" w:hAnsiTheme="majorHAnsi"/>
              <w:caps/>
              <w:color w:val="808080" w:themeColor="background1" w:themeShade="80"/>
              <w:sz w:val="28"/>
              <w:szCs w:val="28"/>
            </w:rPr>
            <w:fldChar w:fldCharType="separate"/>
          </w:r>
          <w:r w:rsidR="009B2FDE" w:rsidRPr="009B2FDE">
            <w:rPr>
              <w:rFonts w:asciiTheme="majorHAnsi" w:hAnsiTheme="majorHAnsi"/>
              <w:caps/>
              <w:noProof/>
              <w:color w:val="808080" w:themeColor="background1" w:themeShade="80"/>
              <w:sz w:val="28"/>
              <w:szCs w:val="28"/>
              <w:lang w:val="es-ES"/>
            </w:rPr>
            <w:t>4</w:t>
          </w:r>
          <w:r w:rsidRPr="000C2A34">
            <w:rPr>
              <w:rFonts w:asciiTheme="majorHAnsi" w:hAnsiTheme="majorHAnsi"/>
              <w:caps/>
              <w:color w:val="808080" w:themeColor="background1" w:themeShade="80"/>
              <w:sz w:val="28"/>
              <w:szCs w:val="28"/>
            </w:rPr>
            <w:fldChar w:fldCharType="end"/>
          </w:r>
        </w:p>
      </w:tc>
    </w:tr>
  </w:tbl>
  <w:p w14:paraId="15168CFA" w14:textId="77777777" w:rsidR="00F972AF" w:rsidRDefault="00F97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41315" w14:textId="77777777" w:rsidR="000F0F32" w:rsidRDefault="000F0F32" w:rsidP="0038412E">
      <w:pPr>
        <w:spacing w:after="0"/>
      </w:pPr>
      <w:r>
        <w:separator/>
      </w:r>
    </w:p>
  </w:footnote>
  <w:footnote w:type="continuationSeparator" w:id="0">
    <w:p w14:paraId="0A3C4042" w14:textId="77777777" w:rsidR="000F0F32" w:rsidRDefault="000F0F32" w:rsidP="003841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F3AD" w14:textId="0614DB2D" w:rsidR="00F972AF" w:rsidRDefault="00F972A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28F6B5" wp14:editId="638D702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58775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58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121F2A" w14:textId="5B39EBF7" w:rsidR="00F972AF" w:rsidRDefault="00F972A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51E94">
                                <w:rPr>
                                  <w:caps/>
                                  <w:color w:val="FFFFFF" w:themeColor="background1"/>
                                </w:rPr>
                                <w:t>Understanding Modelling Tools for Sustainable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928F6B5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121F2A" w14:textId="5B39EBF7" w:rsidR="00F972AF" w:rsidRDefault="00F972AF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51E94">
                          <w:rPr>
                            <w:caps/>
                            <w:color w:val="FFFFFF" w:themeColor="background1"/>
                          </w:rPr>
                          <w:t>Understanding Modelling Tools for Sustainable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259"/>
    <w:multiLevelType w:val="hybridMultilevel"/>
    <w:tmpl w:val="0A687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4C2B"/>
    <w:multiLevelType w:val="hybridMultilevel"/>
    <w:tmpl w:val="89BC8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F1EEF"/>
    <w:multiLevelType w:val="hybridMultilevel"/>
    <w:tmpl w:val="B7C46B42"/>
    <w:lvl w:ilvl="0" w:tplc="5E182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8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C4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07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4A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B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E834A6"/>
    <w:multiLevelType w:val="hybridMultilevel"/>
    <w:tmpl w:val="294C98B0"/>
    <w:lvl w:ilvl="0" w:tplc="26365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8F0AF8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AD429C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62F4C804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C74E923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BFEEAF8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EC480D1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7A962BD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AE1CFA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F82F12"/>
    <w:multiLevelType w:val="hybridMultilevel"/>
    <w:tmpl w:val="E3667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87E6A"/>
    <w:multiLevelType w:val="hybridMultilevel"/>
    <w:tmpl w:val="FA401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61D65"/>
    <w:multiLevelType w:val="hybridMultilevel"/>
    <w:tmpl w:val="081449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15B9B"/>
    <w:multiLevelType w:val="hybridMultilevel"/>
    <w:tmpl w:val="1602A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9503F"/>
    <w:multiLevelType w:val="hybridMultilevel"/>
    <w:tmpl w:val="826020E4"/>
    <w:lvl w:ilvl="0" w:tplc="8682C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8E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C4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07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4A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B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2BE"/>
    <w:rsid w:val="000016F0"/>
    <w:rsid w:val="00001DE8"/>
    <w:rsid w:val="0000320C"/>
    <w:rsid w:val="00004B8A"/>
    <w:rsid w:val="00006618"/>
    <w:rsid w:val="00006AA1"/>
    <w:rsid w:val="00013E46"/>
    <w:rsid w:val="00013E52"/>
    <w:rsid w:val="00017E21"/>
    <w:rsid w:val="000245DA"/>
    <w:rsid w:val="00025FDD"/>
    <w:rsid w:val="00026605"/>
    <w:rsid w:val="000302BA"/>
    <w:rsid w:val="0003082D"/>
    <w:rsid w:val="000325CE"/>
    <w:rsid w:val="000357C8"/>
    <w:rsid w:val="000412BE"/>
    <w:rsid w:val="00044721"/>
    <w:rsid w:val="00044980"/>
    <w:rsid w:val="00047EB5"/>
    <w:rsid w:val="0005017E"/>
    <w:rsid w:val="000521F4"/>
    <w:rsid w:val="00054752"/>
    <w:rsid w:val="00056164"/>
    <w:rsid w:val="00061786"/>
    <w:rsid w:val="0006423A"/>
    <w:rsid w:val="00065D89"/>
    <w:rsid w:val="00065EE4"/>
    <w:rsid w:val="000670C2"/>
    <w:rsid w:val="0007075D"/>
    <w:rsid w:val="00071840"/>
    <w:rsid w:val="00077088"/>
    <w:rsid w:val="00080209"/>
    <w:rsid w:val="00080B0B"/>
    <w:rsid w:val="00083F17"/>
    <w:rsid w:val="00084956"/>
    <w:rsid w:val="00086AFD"/>
    <w:rsid w:val="0009318F"/>
    <w:rsid w:val="00095290"/>
    <w:rsid w:val="000A6FED"/>
    <w:rsid w:val="000B5C31"/>
    <w:rsid w:val="000C04F1"/>
    <w:rsid w:val="000C1179"/>
    <w:rsid w:val="000C1F0D"/>
    <w:rsid w:val="000C2A34"/>
    <w:rsid w:val="000C408F"/>
    <w:rsid w:val="000C5529"/>
    <w:rsid w:val="000D47E8"/>
    <w:rsid w:val="000D4C37"/>
    <w:rsid w:val="000E789E"/>
    <w:rsid w:val="000F0F32"/>
    <w:rsid w:val="000F5493"/>
    <w:rsid w:val="00100674"/>
    <w:rsid w:val="00102C3C"/>
    <w:rsid w:val="00103737"/>
    <w:rsid w:val="00103C7C"/>
    <w:rsid w:val="00103EE9"/>
    <w:rsid w:val="00105A7D"/>
    <w:rsid w:val="00105F05"/>
    <w:rsid w:val="00107DE0"/>
    <w:rsid w:val="0011047C"/>
    <w:rsid w:val="00112476"/>
    <w:rsid w:val="00116454"/>
    <w:rsid w:val="00116FD5"/>
    <w:rsid w:val="00117040"/>
    <w:rsid w:val="001213A0"/>
    <w:rsid w:val="00122F80"/>
    <w:rsid w:val="00125336"/>
    <w:rsid w:val="0013033D"/>
    <w:rsid w:val="00131361"/>
    <w:rsid w:val="00146226"/>
    <w:rsid w:val="00155D07"/>
    <w:rsid w:val="0015649A"/>
    <w:rsid w:val="00157AEA"/>
    <w:rsid w:val="001602A2"/>
    <w:rsid w:val="00161186"/>
    <w:rsid w:val="00166D55"/>
    <w:rsid w:val="0017312F"/>
    <w:rsid w:val="001738CD"/>
    <w:rsid w:val="00174049"/>
    <w:rsid w:val="0017481A"/>
    <w:rsid w:val="0017548D"/>
    <w:rsid w:val="00176FCA"/>
    <w:rsid w:val="00186093"/>
    <w:rsid w:val="00186EAC"/>
    <w:rsid w:val="001874CA"/>
    <w:rsid w:val="00191D6B"/>
    <w:rsid w:val="001A2D43"/>
    <w:rsid w:val="001A60AE"/>
    <w:rsid w:val="001A7F46"/>
    <w:rsid w:val="001B2AAF"/>
    <w:rsid w:val="001B3E63"/>
    <w:rsid w:val="001B4E95"/>
    <w:rsid w:val="001C15B3"/>
    <w:rsid w:val="001C1C6D"/>
    <w:rsid w:val="001C5544"/>
    <w:rsid w:val="001C57AC"/>
    <w:rsid w:val="001D31CD"/>
    <w:rsid w:val="001D50D5"/>
    <w:rsid w:val="001D674A"/>
    <w:rsid w:val="001D6EAC"/>
    <w:rsid w:val="001D76A4"/>
    <w:rsid w:val="001D7DD1"/>
    <w:rsid w:val="001E2BCF"/>
    <w:rsid w:val="001E4C0A"/>
    <w:rsid w:val="001E7044"/>
    <w:rsid w:val="001F0399"/>
    <w:rsid w:val="001F0419"/>
    <w:rsid w:val="001F7DDD"/>
    <w:rsid w:val="00200885"/>
    <w:rsid w:val="0020371B"/>
    <w:rsid w:val="00206DC9"/>
    <w:rsid w:val="00207C4E"/>
    <w:rsid w:val="00212F79"/>
    <w:rsid w:val="002139DC"/>
    <w:rsid w:val="00216E41"/>
    <w:rsid w:val="00220D22"/>
    <w:rsid w:val="0022460E"/>
    <w:rsid w:val="00227EED"/>
    <w:rsid w:val="0023470D"/>
    <w:rsid w:val="00241C72"/>
    <w:rsid w:val="002430E8"/>
    <w:rsid w:val="002436BA"/>
    <w:rsid w:val="00245D8C"/>
    <w:rsid w:val="0024690F"/>
    <w:rsid w:val="00252ADC"/>
    <w:rsid w:val="00252B4B"/>
    <w:rsid w:val="0025372A"/>
    <w:rsid w:val="00254BD5"/>
    <w:rsid w:val="002570FE"/>
    <w:rsid w:val="00257716"/>
    <w:rsid w:val="00266B52"/>
    <w:rsid w:val="00270536"/>
    <w:rsid w:val="002705F8"/>
    <w:rsid w:val="0027063F"/>
    <w:rsid w:val="002723FE"/>
    <w:rsid w:val="0027501B"/>
    <w:rsid w:val="00277543"/>
    <w:rsid w:val="00285FA9"/>
    <w:rsid w:val="00290A2E"/>
    <w:rsid w:val="00293DB3"/>
    <w:rsid w:val="002A17D1"/>
    <w:rsid w:val="002A34B2"/>
    <w:rsid w:val="002B2877"/>
    <w:rsid w:val="002C429B"/>
    <w:rsid w:val="002C46CE"/>
    <w:rsid w:val="002C5C1A"/>
    <w:rsid w:val="002C5E7C"/>
    <w:rsid w:val="002D1461"/>
    <w:rsid w:val="002D570B"/>
    <w:rsid w:val="002E3F03"/>
    <w:rsid w:val="002E4956"/>
    <w:rsid w:val="002F2EF5"/>
    <w:rsid w:val="002F41A1"/>
    <w:rsid w:val="002F6920"/>
    <w:rsid w:val="0030206D"/>
    <w:rsid w:val="00303B65"/>
    <w:rsid w:val="00307CF7"/>
    <w:rsid w:val="003149D0"/>
    <w:rsid w:val="00314C94"/>
    <w:rsid w:val="0031790D"/>
    <w:rsid w:val="0032478E"/>
    <w:rsid w:val="00324941"/>
    <w:rsid w:val="0033353B"/>
    <w:rsid w:val="00336623"/>
    <w:rsid w:val="003400A0"/>
    <w:rsid w:val="00342C4A"/>
    <w:rsid w:val="00342D47"/>
    <w:rsid w:val="00343B25"/>
    <w:rsid w:val="0035649D"/>
    <w:rsid w:val="0035709B"/>
    <w:rsid w:val="00357BD0"/>
    <w:rsid w:val="003607E9"/>
    <w:rsid w:val="0036209F"/>
    <w:rsid w:val="0036635B"/>
    <w:rsid w:val="00372211"/>
    <w:rsid w:val="00374875"/>
    <w:rsid w:val="00383329"/>
    <w:rsid w:val="0038412E"/>
    <w:rsid w:val="00384581"/>
    <w:rsid w:val="00385432"/>
    <w:rsid w:val="003934CF"/>
    <w:rsid w:val="0039485B"/>
    <w:rsid w:val="00395B2C"/>
    <w:rsid w:val="0039706B"/>
    <w:rsid w:val="00397A23"/>
    <w:rsid w:val="003A140F"/>
    <w:rsid w:val="003A181B"/>
    <w:rsid w:val="003A1C7F"/>
    <w:rsid w:val="003A3FCA"/>
    <w:rsid w:val="003A4317"/>
    <w:rsid w:val="003B0DE8"/>
    <w:rsid w:val="003B0E8D"/>
    <w:rsid w:val="003B1CD1"/>
    <w:rsid w:val="003B36C1"/>
    <w:rsid w:val="003B5629"/>
    <w:rsid w:val="003B6404"/>
    <w:rsid w:val="003C6069"/>
    <w:rsid w:val="003D2BAE"/>
    <w:rsid w:val="003D3CC6"/>
    <w:rsid w:val="003D4016"/>
    <w:rsid w:val="003D54E3"/>
    <w:rsid w:val="003D61BA"/>
    <w:rsid w:val="003D69A5"/>
    <w:rsid w:val="003D72CB"/>
    <w:rsid w:val="003E382E"/>
    <w:rsid w:val="003E5012"/>
    <w:rsid w:val="003F12F8"/>
    <w:rsid w:val="003F7968"/>
    <w:rsid w:val="00412581"/>
    <w:rsid w:val="00412E5C"/>
    <w:rsid w:val="0041397D"/>
    <w:rsid w:val="00420BA9"/>
    <w:rsid w:val="00420D3D"/>
    <w:rsid w:val="00422629"/>
    <w:rsid w:val="004235E0"/>
    <w:rsid w:val="00440FC5"/>
    <w:rsid w:val="00442E76"/>
    <w:rsid w:val="00455002"/>
    <w:rsid w:val="004552EE"/>
    <w:rsid w:val="00457D22"/>
    <w:rsid w:val="0046166A"/>
    <w:rsid w:val="0046230E"/>
    <w:rsid w:val="00467B75"/>
    <w:rsid w:val="0047052D"/>
    <w:rsid w:val="00470D34"/>
    <w:rsid w:val="00473C02"/>
    <w:rsid w:val="00475B2D"/>
    <w:rsid w:val="00480683"/>
    <w:rsid w:val="004816F0"/>
    <w:rsid w:val="00483F4B"/>
    <w:rsid w:val="00494B8E"/>
    <w:rsid w:val="00495540"/>
    <w:rsid w:val="004A08A7"/>
    <w:rsid w:val="004A14D6"/>
    <w:rsid w:val="004A37DA"/>
    <w:rsid w:val="004A3E62"/>
    <w:rsid w:val="004A595F"/>
    <w:rsid w:val="004A70F8"/>
    <w:rsid w:val="004A7215"/>
    <w:rsid w:val="004B4461"/>
    <w:rsid w:val="004B5F0C"/>
    <w:rsid w:val="004B7504"/>
    <w:rsid w:val="004B767D"/>
    <w:rsid w:val="004B79B2"/>
    <w:rsid w:val="004C0A47"/>
    <w:rsid w:val="004C193E"/>
    <w:rsid w:val="004C55C2"/>
    <w:rsid w:val="004D154F"/>
    <w:rsid w:val="004D577B"/>
    <w:rsid w:val="004D7945"/>
    <w:rsid w:val="004E1D24"/>
    <w:rsid w:val="004E2F85"/>
    <w:rsid w:val="004E3E47"/>
    <w:rsid w:val="004E6AEE"/>
    <w:rsid w:val="004E7C0B"/>
    <w:rsid w:val="004F321C"/>
    <w:rsid w:val="004F4ECA"/>
    <w:rsid w:val="004F6FC6"/>
    <w:rsid w:val="004F7862"/>
    <w:rsid w:val="005034F9"/>
    <w:rsid w:val="00504B1F"/>
    <w:rsid w:val="00507F82"/>
    <w:rsid w:val="00514E9F"/>
    <w:rsid w:val="0052158D"/>
    <w:rsid w:val="00524ECD"/>
    <w:rsid w:val="00524ED7"/>
    <w:rsid w:val="00526BA8"/>
    <w:rsid w:val="00527F54"/>
    <w:rsid w:val="00530285"/>
    <w:rsid w:val="00534213"/>
    <w:rsid w:val="00535D3A"/>
    <w:rsid w:val="00540316"/>
    <w:rsid w:val="00544877"/>
    <w:rsid w:val="005461D4"/>
    <w:rsid w:val="005464F4"/>
    <w:rsid w:val="00546551"/>
    <w:rsid w:val="00550726"/>
    <w:rsid w:val="00552366"/>
    <w:rsid w:val="00553FFA"/>
    <w:rsid w:val="00555C56"/>
    <w:rsid w:val="005576E4"/>
    <w:rsid w:val="005633A3"/>
    <w:rsid w:val="005651DB"/>
    <w:rsid w:val="005665DA"/>
    <w:rsid w:val="0057020A"/>
    <w:rsid w:val="00571D8A"/>
    <w:rsid w:val="00581AC6"/>
    <w:rsid w:val="00582D64"/>
    <w:rsid w:val="00585F89"/>
    <w:rsid w:val="0059047C"/>
    <w:rsid w:val="005911A2"/>
    <w:rsid w:val="00591ACF"/>
    <w:rsid w:val="00592F07"/>
    <w:rsid w:val="00593680"/>
    <w:rsid w:val="0059422C"/>
    <w:rsid w:val="005A1D84"/>
    <w:rsid w:val="005A25FA"/>
    <w:rsid w:val="005B1D3C"/>
    <w:rsid w:val="005B2A56"/>
    <w:rsid w:val="005B3875"/>
    <w:rsid w:val="005B466B"/>
    <w:rsid w:val="005B4C76"/>
    <w:rsid w:val="005B4F0C"/>
    <w:rsid w:val="005B594E"/>
    <w:rsid w:val="005B5EAE"/>
    <w:rsid w:val="005B716B"/>
    <w:rsid w:val="005C5BBB"/>
    <w:rsid w:val="005C61EA"/>
    <w:rsid w:val="005C787C"/>
    <w:rsid w:val="005D2077"/>
    <w:rsid w:val="005D4B6D"/>
    <w:rsid w:val="005D559E"/>
    <w:rsid w:val="005E4DBC"/>
    <w:rsid w:val="005E5CE4"/>
    <w:rsid w:val="005F1183"/>
    <w:rsid w:val="005F1A31"/>
    <w:rsid w:val="005F7CE0"/>
    <w:rsid w:val="006023FE"/>
    <w:rsid w:val="006049A6"/>
    <w:rsid w:val="00604C65"/>
    <w:rsid w:val="00605EA4"/>
    <w:rsid w:val="00613172"/>
    <w:rsid w:val="00614127"/>
    <w:rsid w:val="00615736"/>
    <w:rsid w:val="00625994"/>
    <w:rsid w:val="00630587"/>
    <w:rsid w:val="006323D7"/>
    <w:rsid w:val="006332D5"/>
    <w:rsid w:val="006367C5"/>
    <w:rsid w:val="00643BF9"/>
    <w:rsid w:val="0065160F"/>
    <w:rsid w:val="00654236"/>
    <w:rsid w:val="00654417"/>
    <w:rsid w:val="00657301"/>
    <w:rsid w:val="00657772"/>
    <w:rsid w:val="00661C6F"/>
    <w:rsid w:val="00662336"/>
    <w:rsid w:val="0066382C"/>
    <w:rsid w:val="00663B46"/>
    <w:rsid w:val="00665426"/>
    <w:rsid w:val="0066589F"/>
    <w:rsid w:val="00671B4D"/>
    <w:rsid w:val="00675597"/>
    <w:rsid w:val="006756AD"/>
    <w:rsid w:val="00677DB6"/>
    <w:rsid w:val="00681C3C"/>
    <w:rsid w:val="006851C0"/>
    <w:rsid w:val="00687C9F"/>
    <w:rsid w:val="00687F08"/>
    <w:rsid w:val="0069502F"/>
    <w:rsid w:val="00697770"/>
    <w:rsid w:val="006A0106"/>
    <w:rsid w:val="006A10D1"/>
    <w:rsid w:val="006A2DFE"/>
    <w:rsid w:val="006A3726"/>
    <w:rsid w:val="006A59D4"/>
    <w:rsid w:val="006A5C63"/>
    <w:rsid w:val="006B5DD4"/>
    <w:rsid w:val="006B62B0"/>
    <w:rsid w:val="006B77CF"/>
    <w:rsid w:val="006C01C7"/>
    <w:rsid w:val="006C27A9"/>
    <w:rsid w:val="006C4CB9"/>
    <w:rsid w:val="006C5C7A"/>
    <w:rsid w:val="006D05D5"/>
    <w:rsid w:val="006D21A3"/>
    <w:rsid w:val="006D2D92"/>
    <w:rsid w:val="006D6DF4"/>
    <w:rsid w:val="006D6E39"/>
    <w:rsid w:val="006E38D3"/>
    <w:rsid w:val="006F1AC1"/>
    <w:rsid w:val="006F538E"/>
    <w:rsid w:val="006F5C35"/>
    <w:rsid w:val="007018DE"/>
    <w:rsid w:val="00702C5F"/>
    <w:rsid w:val="007057D5"/>
    <w:rsid w:val="00707EC5"/>
    <w:rsid w:val="00711CD2"/>
    <w:rsid w:val="00712EBC"/>
    <w:rsid w:val="00712F60"/>
    <w:rsid w:val="00715F26"/>
    <w:rsid w:val="007173EF"/>
    <w:rsid w:val="00717BA1"/>
    <w:rsid w:val="007222B6"/>
    <w:rsid w:val="00723FDE"/>
    <w:rsid w:val="00727EA7"/>
    <w:rsid w:val="0073197F"/>
    <w:rsid w:val="007321E1"/>
    <w:rsid w:val="00734DB1"/>
    <w:rsid w:val="00735266"/>
    <w:rsid w:val="007357E0"/>
    <w:rsid w:val="00735CFD"/>
    <w:rsid w:val="0073643B"/>
    <w:rsid w:val="00742237"/>
    <w:rsid w:val="0074296E"/>
    <w:rsid w:val="00743F26"/>
    <w:rsid w:val="00750994"/>
    <w:rsid w:val="00762335"/>
    <w:rsid w:val="00763909"/>
    <w:rsid w:val="007669A0"/>
    <w:rsid w:val="007829D6"/>
    <w:rsid w:val="00783997"/>
    <w:rsid w:val="007848AC"/>
    <w:rsid w:val="00790788"/>
    <w:rsid w:val="00790A15"/>
    <w:rsid w:val="00792A7D"/>
    <w:rsid w:val="00795172"/>
    <w:rsid w:val="00797F53"/>
    <w:rsid w:val="007A5726"/>
    <w:rsid w:val="007A5C70"/>
    <w:rsid w:val="007A5F98"/>
    <w:rsid w:val="007A6490"/>
    <w:rsid w:val="007B1780"/>
    <w:rsid w:val="007B293C"/>
    <w:rsid w:val="007B64CF"/>
    <w:rsid w:val="007C2AF0"/>
    <w:rsid w:val="007C3F1C"/>
    <w:rsid w:val="007C4BEA"/>
    <w:rsid w:val="007C6575"/>
    <w:rsid w:val="007E151E"/>
    <w:rsid w:val="007E558A"/>
    <w:rsid w:val="007F0C23"/>
    <w:rsid w:val="007F1262"/>
    <w:rsid w:val="007F38AF"/>
    <w:rsid w:val="007F5C14"/>
    <w:rsid w:val="007F7B57"/>
    <w:rsid w:val="0080010C"/>
    <w:rsid w:val="00800C12"/>
    <w:rsid w:val="008017BE"/>
    <w:rsid w:val="0080225F"/>
    <w:rsid w:val="008026EF"/>
    <w:rsid w:val="008035C0"/>
    <w:rsid w:val="0080403C"/>
    <w:rsid w:val="008053A6"/>
    <w:rsid w:val="00806B7F"/>
    <w:rsid w:val="008177AD"/>
    <w:rsid w:val="00821E7C"/>
    <w:rsid w:val="008238CC"/>
    <w:rsid w:val="008261D3"/>
    <w:rsid w:val="008316FE"/>
    <w:rsid w:val="00833261"/>
    <w:rsid w:val="00833CF0"/>
    <w:rsid w:val="00835047"/>
    <w:rsid w:val="0083670C"/>
    <w:rsid w:val="00847896"/>
    <w:rsid w:val="00847CD3"/>
    <w:rsid w:val="00851E94"/>
    <w:rsid w:val="00855A14"/>
    <w:rsid w:val="00855B7D"/>
    <w:rsid w:val="0085629C"/>
    <w:rsid w:val="0086131A"/>
    <w:rsid w:val="008634B5"/>
    <w:rsid w:val="00865372"/>
    <w:rsid w:val="0086791A"/>
    <w:rsid w:val="00873713"/>
    <w:rsid w:val="00874251"/>
    <w:rsid w:val="008768F6"/>
    <w:rsid w:val="008834A5"/>
    <w:rsid w:val="008878C4"/>
    <w:rsid w:val="00891EF9"/>
    <w:rsid w:val="0089343C"/>
    <w:rsid w:val="00894953"/>
    <w:rsid w:val="0089539C"/>
    <w:rsid w:val="008957E6"/>
    <w:rsid w:val="00895FD6"/>
    <w:rsid w:val="008A29E1"/>
    <w:rsid w:val="008A6E4C"/>
    <w:rsid w:val="008B026C"/>
    <w:rsid w:val="008B1628"/>
    <w:rsid w:val="008B1E0B"/>
    <w:rsid w:val="008B3640"/>
    <w:rsid w:val="008B3AED"/>
    <w:rsid w:val="008B7DDD"/>
    <w:rsid w:val="008C2A2F"/>
    <w:rsid w:val="008C6D68"/>
    <w:rsid w:val="008D7AE7"/>
    <w:rsid w:val="008E0D32"/>
    <w:rsid w:val="008E435E"/>
    <w:rsid w:val="008E50DB"/>
    <w:rsid w:val="008E5B94"/>
    <w:rsid w:val="008F1DB9"/>
    <w:rsid w:val="008F30CF"/>
    <w:rsid w:val="00904D11"/>
    <w:rsid w:val="00910067"/>
    <w:rsid w:val="0091161E"/>
    <w:rsid w:val="00912BA0"/>
    <w:rsid w:val="00914915"/>
    <w:rsid w:val="00914A04"/>
    <w:rsid w:val="009161E9"/>
    <w:rsid w:val="009169D7"/>
    <w:rsid w:val="00920A44"/>
    <w:rsid w:val="00922111"/>
    <w:rsid w:val="00926578"/>
    <w:rsid w:val="00927FB0"/>
    <w:rsid w:val="0093056F"/>
    <w:rsid w:val="00931615"/>
    <w:rsid w:val="00932002"/>
    <w:rsid w:val="00932AA2"/>
    <w:rsid w:val="0093466D"/>
    <w:rsid w:val="00936C73"/>
    <w:rsid w:val="00936EF8"/>
    <w:rsid w:val="00941339"/>
    <w:rsid w:val="00943178"/>
    <w:rsid w:val="009449A1"/>
    <w:rsid w:val="009455F8"/>
    <w:rsid w:val="00945BE4"/>
    <w:rsid w:val="00945FCB"/>
    <w:rsid w:val="00946254"/>
    <w:rsid w:val="0094734B"/>
    <w:rsid w:val="009527F0"/>
    <w:rsid w:val="00957F68"/>
    <w:rsid w:val="009610C6"/>
    <w:rsid w:val="00964689"/>
    <w:rsid w:val="00966F28"/>
    <w:rsid w:val="0096727B"/>
    <w:rsid w:val="00970E6E"/>
    <w:rsid w:val="009724D3"/>
    <w:rsid w:val="0097681E"/>
    <w:rsid w:val="00981C6A"/>
    <w:rsid w:val="00982616"/>
    <w:rsid w:val="009851B8"/>
    <w:rsid w:val="00990212"/>
    <w:rsid w:val="009922D5"/>
    <w:rsid w:val="00993E55"/>
    <w:rsid w:val="009951B4"/>
    <w:rsid w:val="00997716"/>
    <w:rsid w:val="009A33B3"/>
    <w:rsid w:val="009A7CB4"/>
    <w:rsid w:val="009B2FDE"/>
    <w:rsid w:val="009C15EF"/>
    <w:rsid w:val="009C1FFD"/>
    <w:rsid w:val="009C35F2"/>
    <w:rsid w:val="009C492C"/>
    <w:rsid w:val="009D1322"/>
    <w:rsid w:val="009D1D9D"/>
    <w:rsid w:val="009D2D6F"/>
    <w:rsid w:val="009D3D60"/>
    <w:rsid w:val="009D56C2"/>
    <w:rsid w:val="009D773E"/>
    <w:rsid w:val="009F48DE"/>
    <w:rsid w:val="009F4C90"/>
    <w:rsid w:val="009F5ADD"/>
    <w:rsid w:val="009F5B69"/>
    <w:rsid w:val="009F6DF1"/>
    <w:rsid w:val="00A02DB2"/>
    <w:rsid w:val="00A04CBB"/>
    <w:rsid w:val="00A0662E"/>
    <w:rsid w:val="00A06F95"/>
    <w:rsid w:val="00A1067C"/>
    <w:rsid w:val="00A1379D"/>
    <w:rsid w:val="00A157F4"/>
    <w:rsid w:val="00A1772F"/>
    <w:rsid w:val="00A20EE8"/>
    <w:rsid w:val="00A24522"/>
    <w:rsid w:val="00A27969"/>
    <w:rsid w:val="00A32FC7"/>
    <w:rsid w:val="00A3486C"/>
    <w:rsid w:val="00A4312A"/>
    <w:rsid w:val="00A4327D"/>
    <w:rsid w:val="00A43E02"/>
    <w:rsid w:val="00A44AEA"/>
    <w:rsid w:val="00A46124"/>
    <w:rsid w:val="00A53422"/>
    <w:rsid w:val="00A64BF6"/>
    <w:rsid w:val="00A65171"/>
    <w:rsid w:val="00A6535A"/>
    <w:rsid w:val="00A82C98"/>
    <w:rsid w:val="00A8664B"/>
    <w:rsid w:val="00A931B3"/>
    <w:rsid w:val="00A95B62"/>
    <w:rsid w:val="00A9754B"/>
    <w:rsid w:val="00AA4E1E"/>
    <w:rsid w:val="00AA60AA"/>
    <w:rsid w:val="00AA7770"/>
    <w:rsid w:val="00AB48E4"/>
    <w:rsid w:val="00AB7289"/>
    <w:rsid w:val="00AC2AB0"/>
    <w:rsid w:val="00AC34D3"/>
    <w:rsid w:val="00AC37C6"/>
    <w:rsid w:val="00AC3C06"/>
    <w:rsid w:val="00AC54A3"/>
    <w:rsid w:val="00AC7390"/>
    <w:rsid w:val="00AD331C"/>
    <w:rsid w:val="00AD523A"/>
    <w:rsid w:val="00AD55D5"/>
    <w:rsid w:val="00AD6781"/>
    <w:rsid w:val="00AE1B8E"/>
    <w:rsid w:val="00AE1E87"/>
    <w:rsid w:val="00AE24C4"/>
    <w:rsid w:val="00AE42BD"/>
    <w:rsid w:val="00AF1D5E"/>
    <w:rsid w:val="00AF25EC"/>
    <w:rsid w:val="00AF25F4"/>
    <w:rsid w:val="00AF272D"/>
    <w:rsid w:val="00AF6F7C"/>
    <w:rsid w:val="00B02795"/>
    <w:rsid w:val="00B02CBC"/>
    <w:rsid w:val="00B04228"/>
    <w:rsid w:val="00B05AD6"/>
    <w:rsid w:val="00B16615"/>
    <w:rsid w:val="00B16E0D"/>
    <w:rsid w:val="00B17052"/>
    <w:rsid w:val="00B17F46"/>
    <w:rsid w:val="00B21E09"/>
    <w:rsid w:val="00B24F36"/>
    <w:rsid w:val="00B25A90"/>
    <w:rsid w:val="00B3133C"/>
    <w:rsid w:val="00B34201"/>
    <w:rsid w:val="00B34234"/>
    <w:rsid w:val="00B37EB8"/>
    <w:rsid w:val="00B469C5"/>
    <w:rsid w:val="00B51D16"/>
    <w:rsid w:val="00B5519F"/>
    <w:rsid w:val="00B631E5"/>
    <w:rsid w:val="00B66057"/>
    <w:rsid w:val="00B71934"/>
    <w:rsid w:val="00B72740"/>
    <w:rsid w:val="00B738F6"/>
    <w:rsid w:val="00B7436D"/>
    <w:rsid w:val="00B82523"/>
    <w:rsid w:val="00B8288B"/>
    <w:rsid w:val="00B84A8B"/>
    <w:rsid w:val="00B855D4"/>
    <w:rsid w:val="00B90EF4"/>
    <w:rsid w:val="00B94EC4"/>
    <w:rsid w:val="00BA14FB"/>
    <w:rsid w:val="00BA3637"/>
    <w:rsid w:val="00BA3B75"/>
    <w:rsid w:val="00BB52FE"/>
    <w:rsid w:val="00BC5EDA"/>
    <w:rsid w:val="00BC6A02"/>
    <w:rsid w:val="00BD0944"/>
    <w:rsid w:val="00BD4108"/>
    <w:rsid w:val="00BD5276"/>
    <w:rsid w:val="00BD7F54"/>
    <w:rsid w:val="00BE0E4E"/>
    <w:rsid w:val="00BE2759"/>
    <w:rsid w:val="00BE4CA7"/>
    <w:rsid w:val="00BF012C"/>
    <w:rsid w:val="00BF12AD"/>
    <w:rsid w:val="00BF3AA0"/>
    <w:rsid w:val="00BF5E48"/>
    <w:rsid w:val="00C065C0"/>
    <w:rsid w:val="00C134B1"/>
    <w:rsid w:val="00C139F4"/>
    <w:rsid w:val="00C1763E"/>
    <w:rsid w:val="00C20513"/>
    <w:rsid w:val="00C24F22"/>
    <w:rsid w:val="00C25F22"/>
    <w:rsid w:val="00C26471"/>
    <w:rsid w:val="00C30DD6"/>
    <w:rsid w:val="00C35177"/>
    <w:rsid w:val="00C40A36"/>
    <w:rsid w:val="00C455B6"/>
    <w:rsid w:val="00C50302"/>
    <w:rsid w:val="00C516E4"/>
    <w:rsid w:val="00C51DBA"/>
    <w:rsid w:val="00C52B16"/>
    <w:rsid w:val="00C57583"/>
    <w:rsid w:val="00C57FDB"/>
    <w:rsid w:val="00C605FF"/>
    <w:rsid w:val="00C62C9F"/>
    <w:rsid w:val="00C65D9E"/>
    <w:rsid w:val="00C6723A"/>
    <w:rsid w:val="00C7146C"/>
    <w:rsid w:val="00C71801"/>
    <w:rsid w:val="00C718A7"/>
    <w:rsid w:val="00C71C15"/>
    <w:rsid w:val="00C75B8F"/>
    <w:rsid w:val="00C805E8"/>
    <w:rsid w:val="00C80EC7"/>
    <w:rsid w:val="00C87733"/>
    <w:rsid w:val="00C90FBB"/>
    <w:rsid w:val="00C91D67"/>
    <w:rsid w:val="00C97A13"/>
    <w:rsid w:val="00C97BC5"/>
    <w:rsid w:val="00CA361E"/>
    <w:rsid w:val="00CA78A0"/>
    <w:rsid w:val="00CB0D83"/>
    <w:rsid w:val="00CB428E"/>
    <w:rsid w:val="00CB48C7"/>
    <w:rsid w:val="00CB4EF0"/>
    <w:rsid w:val="00CB669F"/>
    <w:rsid w:val="00CC21BC"/>
    <w:rsid w:val="00CC5765"/>
    <w:rsid w:val="00CC6183"/>
    <w:rsid w:val="00CC675C"/>
    <w:rsid w:val="00CC77A6"/>
    <w:rsid w:val="00CD50DE"/>
    <w:rsid w:val="00CD6C06"/>
    <w:rsid w:val="00CE2BC1"/>
    <w:rsid w:val="00CF0246"/>
    <w:rsid w:val="00CF0B08"/>
    <w:rsid w:val="00CF0BC6"/>
    <w:rsid w:val="00D03679"/>
    <w:rsid w:val="00D05120"/>
    <w:rsid w:val="00D076B1"/>
    <w:rsid w:val="00D10047"/>
    <w:rsid w:val="00D10502"/>
    <w:rsid w:val="00D17CF8"/>
    <w:rsid w:val="00D21B7E"/>
    <w:rsid w:val="00D2239C"/>
    <w:rsid w:val="00D229F8"/>
    <w:rsid w:val="00D27D02"/>
    <w:rsid w:val="00D30FDC"/>
    <w:rsid w:val="00D3199C"/>
    <w:rsid w:val="00D33A62"/>
    <w:rsid w:val="00D3675B"/>
    <w:rsid w:val="00D423E0"/>
    <w:rsid w:val="00D43DE5"/>
    <w:rsid w:val="00D45A96"/>
    <w:rsid w:val="00D47779"/>
    <w:rsid w:val="00D50E27"/>
    <w:rsid w:val="00D51850"/>
    <w:rsid w:val="00D51D7C"/>
    <w:rsid w:val="00D52462"/>
    <w:rsid w:val="00D53914"/>
    <w:rsid w:val="00D57354"/>
    <w:rsid w:val="00D5765F"/>
    <w:rsid w:val="00D60A48"/>
    <w:rsid w:val="00D623AF"/>
    <w:rsid w:val="00D6275E"/>
    <w:rsid w:val="00D62769"/>
    <w:rsid w:val="00D67A6A"/>
    <w:rsid w:val="00D72AF6"/>
    <w:rsid w:val="00D74851"/>
    <w:rsid w:val="00D763DF"/>
    <w:rsid w:val="00D764D2"/>
    <w:rsid w:val="00D77285"/>
    <w:rsid w:val="00D80581"/>
    <w:rsid w:val="00D84265"/>
    <w:rsid w:val="00D85071"/>
    <w:rsid w:val="00D85B82"/>
    <w:rsid w:val="00D85D3E"/>
    <w:rsid w:val="00D87786"/>
    <w:rsid w:val="00D90730"/>
    <w:rsid w:val="00D91112"/>
    <w:rsid w:val="00D93960"/>
    <w:rsid w:val="00D954FE"/>
    <w:rsid w:val="00D95D09"/>
    <w:rsid w:val="00D973E4"/>
    <w:rsid w:val="00DA09E6"/>
    <w:rsid w:val="00DA3438"/>
    <w:rsid w:val="00DA3909"/>
    <w:rsid w:val="00DB0F00"/>
    <w:rsid w:val="00DB2019"/>
    <w:rsid w:val="00DB31C8"/>
    <w:rsid w:val="00DB38BB"/>
    <w:rsid w:val="00DB7757"/>
    <w:rsid w:val="00DC0D95"/>
    <w:rsid w:val="00DC16A0"/>
    <w:rsid w:val="00DC1A83"/>
    <w:rsid w:val="00DC28EF"/>
    <w:rsid w:val="00DC5A7D"/>
    <w:rsid w:val="00DD05D7"/>
    <w:rsid w:val="00DD3CB8"/>
    <w:rsid w:val="00DD4162"/>
    <w:rsid w:val="00DD5BB2"/>
    <w:rsid w:val="00DD76F2"/>
    <w:rsid w:val="00DE16B6"/>
    <w:rsid w:val="00DE726D"/>
    <w:rsid w:val="00DE7353"/>
    <w:rsid w:val="00DE766D"/>
    <w:rsid w:val="00DF610B"/>
    <w:rsid w:val="00DF707B"/>
    <w:rsid w:val="00DF7BB1"/>
    <w:rsid w:val="00E078E3"/>
    <w:rsid w:val="00E117C9"/>
    <w:rsid w:val="00E1511F"/>
    <w:rsid w:val="00E1624C"/>
    <w:rsid w:val="00E1711E"/>
    <w:rsid w:val="00E21F55"/>
    <w:rsid w:val="00E278A1"/>
    <w:rsid w:val="00E30233"/>
    <w:rsid w:val="00E3150B"/>
    <w:rsid w:val="00E323DE"/>
    <w:rsid w:val="00E3588F"/>
    <w:rsid w:val="00E36D7B"/>
    <w:rsid w:val="00E41775"/>
    <w:rsid w:val="00E42254"/>
    <w:rsid w:val="00E43564"/>
    <w:rsid w:val="00E51E71"/>
    <w:rsid w:val="00E549D3"/>
    <w:rsid w:val="00E553BE"/>
    <w:rsid w:val="00E5586A"/>
    <w:rsid w:val="00E5755F"/>
    <w:rsid w:val="00E62A29"/>
    <w:rsid w:val="00E7271E"/>
    <w:rsid w:val="00E747FD"/>
    <w:rsid w:val="00E76402"/>
    <w:rsid w:val="00E77646"/>
    <w:rsid w:val="00E77B99"/>
    <w:rsid w:val="00E802AC"/>
    <w:rsid w:val="00E82924"/>
    <w:rsid w:val="00E85D45"/>
    <w:rsid w:val="00E900F4"/>
    <w:rsid w:val="00E950D9"/>
    <w:rsid w:val="00EA01D0"/>
    <w:rsid w:val="00EA7771"/>
    <w:rsid w:val="00EB0733"/>
    <w:rsid w:val="00EB240D"/>
    <w:rsid w:val="00EB336D"/>
    <w:rsid w:val="00EB610C"/>
    <w:rsid w:val="00EC1A8C"/>
    <w:rsid w:val="00EC28DF"/>
    <w:rsid w:val="00EC2B78"/>
    <w:rsid w:val="00EC4BAF"/>
    <w:rsid w:val="00EC5A21"/>
    <w:rsid w:val="00EC7CBC"/>
    <w:rsid w:val="00ED186B"/>
    <w:rsid w:val="00ED4068"/>
    <w:rsid w:val="00ED4D8A"/>
    <w:rsid w:val="00EE56A1"/>
    <w:rsid w:val="00EF30CA"/>
    <w:rsid w:val="00EF367A"/>
    <w:rsid w:val="00F00541"/>
    <w:rsid w:val="00F00B10"/>
    <w:rsid w:val="00F032F9"/>
    <w:rsid w:val="00F03620"/>
    <w:rsid w:val="00F05AEE"/>
    <w:rsid w:val="00F05E13"/>
    <w:rsid w:val="00F158AE"/>
    <w:rsid w:val="00F179BE"/>
    <w:rsid w:val="00F30A9E"/>
    <w:rsid w:val="00F330E5"/>
    <w:rsid w:val="00F34D60"/>
    <w:rsid w:val="00F35EB0"/>
    <w:rsid w:val="00F37AFF"/>
    <w:rsid w:val="00F428D9"/>
    <w:rsid w:val="00F47903"/>
    <w:rsid w:val="00F50B1D"/>
    <w:rsid w:val="00F549FA"/>
    <w:rsid w:val="00F557F9"/>
    <w:rsid w:val="00F64031"/>
    <w:rsid w:val="00F75CAA"/>
    <w:rsid w:val="00F7685F"/>
    <w:rsid w:val="00F84694"/>
    <w:rsid w:val="00F90A51"/>
    <w:rsid w:val="00F95084"/>
    <w:rsid w:val="00F96BFF"/>
    <w:rsid w:val="00F972AF"/>
    <w:rsid w:val="00FB0782"/>
    <w:rsid w:val="00FB1BD2"/>
    <w:rsid w:val="00FB31A6"/>
    <w:rsid w:val="00FB4843"/>
    <w:rsid w:val="00FB48BA"/>
    <w:rsid w:val="00FB6091"/>
    <w:rsid w:val="00FB7D09"/>
    <w:rsid w:val="00FC180E"/>
    <w:rsid w:val="00FC41EE"/>
    <w:rsid w:val="00FC4F50"/>
    <w:rsid w:val="00FD0B7A"/>
    <w:rsid w:val="00FD42AA"/>
    <w:rsid w:val="00FD51EA"/>
    <w:rsid w:val="00FE0548"/>
    <w:rsid w:val="00FE0EDD"/>
    <w:rsid w:val="00FE4340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9835C"/>
  <w15:docId w15:val="{CB740692-539D-43DA-B31A-B7950F87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34"/>
  </w:style>
  <w:style w:type="paragraph" w:styleId="Heading1">
    <w:name w:val="heading 1"/>
    <w:basedOn w:val="Normal"/>
    <w:next w:val="Normal"/>
    <w:link w:val="Heading1Char"/>
    <w:uiPriority w:val="9"/>
    <w:qFormat/>
    <w:rsid w:val="000C2A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3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3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A3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2A3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2A3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3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6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6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6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1B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1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12E"/>
  </w:style>
  <w:style w:type="paragraph" w:styleId="Footer">
    <w:name w:val="footer"/>
    <w:basedOn w:val="Normal"/>
    <w:link w:val="FooterChar"/>
    <w:uiPriority w:val="99"/>
    <w:unhideWhenUsed/>
    <w:rsid w:val="003841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12E"/>
  </w:style>
  <w:style w:type="table" w:styleId="LightList-Accent3">
    <w:name w:val="Light List Accent 3"/>
    <w:basedOn w:val="TableNormal"/>
    <w:uiPriority w:val="61"/>
    <w:rsid w:val="00107DE0"/>
    <w:pPr>
      <w:spacing w:after="0"/>
    </w:pPr>
    <w:rPr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Spacing">
    <w:name w:val="No Spacing"/>
    <w:link w:val="NoSpacingChar"/>
    <w:uiPriority w:val="1"/>
    <w:qFormat/>
    <w:rsid w:val="000C2A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23FE"/>
  </w:style>
  <w:style w:type="character" w:customStyle="1" w:styleId="Heading1Char">
    <w:name w:val="Heading 1 Char"/>
    <w:basedOn w:val="DefaultParagraphFont"/>
    <w:link w:val="Heading1"/>
    <w:uiPriority w:val="9"/>
    <w:rsid w:val="000C2A3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2A3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C2A3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C2A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A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C2A3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A3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2A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2A34"/>
    <w:rPr>
      <w:b/>
      <w:bCs/>
    </w:rPr>
  </w:style>
  <w:style w:type="character" w:styleId="Emphasis">
    <w:name w:val="Emphasis"/>
    <w:qFormat/>
    <w:rsid w:val="000C2A34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C2A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2A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3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3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C2A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C2A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C2A3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C2A3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C2A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C2A34"/>
    <w:pPr>
      <w:outlineLvl w:val="9"/>
    </w:pPr>
  </w:style>
  <w:style w:type="character" w:customStyle="1" w:styleId="Textodemarcadordeposicin">
    <w:name w:val="Texto de marcador de posición"/>
    <w:basedOn w:val="DefaultParagraphFont"/>
    <w:uiPriority w:val="99"/>
    <w:semiHidden/>
    <w:rsid w:val="000C2A34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B855D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64689"/>
  </w:style>
  <w:style w:type="paragraph" w:customStyle="1" w:styleId="issue-headerdescription">
    <w:name w:val="issue-header__description"/>
    <w:basedOn w:val="Normal"/>
    <w:rsid w:val="0096468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-headermeta-info-label">
    <w:name w:val="article-header__meta-info-label"/>
    <w:basedOn w:val="DefaultParagraphFont"/>
    <w:rsid w:val="00964689"/>
  </w:style>
  <w:style w:type="character" w:customStyle="1" w:styleId="article-headermeta-info-data">
    <w:name w:val="article-header__meta-info-data"/>
    <w:basedOn w:val="DefaultParagraphFont"/>
    <w:rsid w:val="00964689"/>
  </w:style>
  <w:style w:type="paragraph" w:styleId="FootnoteText">
    <w:name w:val="footnote text"/>
    <w:basedOn w:val="Normal"/>
    <w:link w:val="FootnoteTextChar"/>
    <w:uiPriority w:val="99"/>
    <w:semiHidden/>
    <w:unhideWhenUsed/>
    <w:rsid w:val="0096468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689"/>
  </w:style>
  <w:style w:type="character" w:styleId="FootnoteReference">
    <w:name w:val="footnote reference"/>
    <w:basedOn w:val="DefaultParagraphFont"/>
    <w:uiPriority w:val="99"/>
    <w:semiHidden/>
    <w:unhideWhenUsed/>
    <w:rsid w:val="00964689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440FC5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440FC5"/>
    <w:pPr>
      <w:spacing w:after="100"/>
    </w:pPr>
  </w:style>
  <w:style w:type="paragraph" w:customStyle="1" w:styleId="Default">
    <w:name w:val="Default"/>
    <w:rsid w:val="00A8664B"/>
    <w:pPr>
      <w:autoSpaceDE w:val="0"/>
      <w:autoSpaceDN w:val="0"/>
      <w:adjustRightInd w:val="0"/>
      <w:spacing w:before="0"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A8664B"/>
    <w:pPr>
      <w:spacing w:line="213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A8664B"/>
    <w:rPr>
      <w:rFonts w:ascii="Myriad Pro SemiCond" w:hAnsi="Myriad Pro SemiCond" w:cs="Myriad Pro SemiCond"/>
      <w:b/>
      <w:bCs/>
      <w:color w:val="000000"/>
      <w:sz w:val="14"/>
      <w:szCs w:val="1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38D3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38D3"/>
  </w:style>
  <w:style w:type="character" w:styleId="EndnoteReference">
    <w:name w:val="endnote reference"/>
    <w:basedOn w:val="DefaultParagraphFont"/>
    <w:uiPriority w:val="99"/>
    <w:semiHidden/>
    <w:unhideWhenUsed/>
    <w:rsid w:val="006E38D3"/>
    <w:rPr>
      <w:vertAlign w:val="superscript"/>
    </w:rPr>
  </w:style>
  <w:style w:type="table" w:styleId="GridTable5Dark-Accent1">
    <w:name w:val="Grid Table 5 Dark Accent 1"/>
    <w:basedOn w:val="TableNormal"/>
    <w:uiPriority w:val="50"/>
    <w:rsid w:val="00254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uiPriority w:val="39"/>
    <w:rsid w:val="002F41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727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D7DD1"/>
    <w:pPr>
      <w:spacing w:after="100"/>
      <w:ind w:left="400"/>
    </w:pPr>
  </w:style>
  <w:style w:type="paragraph" w:customStyle="1" w:styleId="Estilo1">
    <w:name w:val="Estilo1"/>
    <w:basedOn w:val="Normal"/>
    <w:link w:val="Estilo1Car"/>
    <w:qFormat/>
    <w:rsid w:val="00F00541"/>
    <w:rPr>
      <w:b/>
      <w:sz w:val="24"/>
      <w:szCs w:val="24"/>
      <w:lang w:val="en-GB"/>
    </w:rPr>
  </w:style>
  <w:style w:type="character" w:customStyle="1" w:styleId="Estilo1Car">
    <w:name w:val="Estilo1 Car"/>
    <w:basedOn w:val="DefaultParagraphFont"/>
    <w:link w:val="Estilo1"/>
    <w:rsid w:val="00F00541"/>
    <w:rPr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un-desa-modelling.github.io/clews-mauritius-presentatio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Assessing Climate, Land, Energy and Water Strategies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90CA9-6EA7-8E49-9FA5-4A2C2A10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Modelling Tools for Sustainable Development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Modelling Tools for Sustainable Development</dc:title>
  <dc:subject/>
  <dc:creator>Rocío Canudas</dc:creator>
  <cp:keywords/>
  <dc:description/>
  <cp:lastModifiedBy>Tasneem Mirza</cp:lastModifiedBy>
  <cp:revision>2</cp:revision>
  <dcterms:created xsi:type="dcterms:W3CDTF">2018-05-25T14:26:00Z</dcterms:created>
  <dcterms:modified xsi:type="dcterms:W3CDTF">2018-05-25T14:26:00Z</dcterms:modified>
</cp:coreProperties>
</file>