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文書管理システム 導入手順書</w:t>
      </w:r>
    </w:p>
    <w:p>
      <w:r>
        <w:t>本書は、社内文書管理システムの導入手順をまとめたものである。</w:t>
      </w:r>
    </w:p>
    <w:p>
      <w:pPr>
        <w:pStyle w:val="Heading2"/>
      </w:pPr>
      <w:r>
        <w:t>前提条件</w:t>
      </w:r>
    </w:p>
    <w:p>
      <w:pPr>
        <w:pStyle w:val="ListBullet"/>
      </w:pPr>
      <w:r>
        <w:t>サーバーにDockerが導入されていること</w:t>
      </w:r>
    </w:p>
    <w:p>
      <w:pPr>
        <w:pStyle w:val="ListBullet"/>
      </w:pPr>
      <w:r>
        <w:t>管理者アカウントが払い出されていること</w:t>
      </w:r>
    </w:p>
    <w:p>
      <w:pPr>
        <w:pStyle w:val="Heading2"/>
      </w:pPr>
      <w:r>
        <w:t>手順</w:t>
      </w:r>
    </w:p>
    <w:p>
      <w:r>
        <w:t>設定ファイルを配置し、composeで起動する。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項番</w:t>
            </w:r>
          </w:p>
        </w:tc>
        <w:tc>
          <w:tcPr>
            <w:tcW w:type="dxa" w:w="2880"/>
          </w:tcPr>
          <w:p>
            <w:r>
              <w:t>作業</w:t>
            </w:r>
          </w:p>
        </w:tc>
        <w:tc>
          <w:tcPr>
            <w:tcW w:type="dxa" w:w="2880"/>
          </w:tcPr>
          <w:p>
            <w:r>
              <w:t>担当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環境変数の設定</w:t>
            </w:r>
          </w:p>
        </w:tc>
        <w:tc>
          <w:tcPr>
            <w:tcW w:type="dxa" w:w="2880"/>
          </w:tcPr>
          <w:p>
            <w:r>
              <w:t>インフラ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疎通確認</w:t>
            </w:r>
          </w:p>
        </w:tc>
        <w:tc>
          <w:tcPr>
            <w:tcW w:type="dxa" w:w="2880"/>
          </w:tcPr>
          <w:p>
            <w:r>
              <w:t>開発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