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D5B107" w14:textId="77777777" w:rsidR="002D504F" w:rsidRPr="002D504F" w:rsidRDefault="002D504F" w:rsidP="002D504F">
      <w:pPr>
        <w:jc w:val="center"/>
        <w:rPr>
          <w:rFonts w:ascii="Arial" w:hAnsi="Arial" w:cs="Arial"/>
          <w:b/>
          <w:bCs/>
        </w:rPr>
      </w:pPr>
      <w:r w:rsidRPr="002D504F">
        <w:rPr>
          <w:rFonts w:ascii="Arial" w:hAnsi="Arial" w:cs="Arial"/>
          <w:b/>
          <w:bCs/>
        </w:rPr>
        <w:t>Inter-Annotator Reliability Analysis — Gender Occupation Bias Stream</w:t>
      </w:r>
    </w:p>
    <w:p w14:paraId="16F5533B" w14:textId="77777777" w:rsidR="002D504F" w:rsidRPr="002D504F" w:rsidRDefault="002D504F" w:rsidP="002D504F">
      <w:pPr>
        <w:jc w:val="both"/>
        <w:rPr>
          <w:rFonts w:ascii="Arial" w:hAnsi="Arial" w:cs="Arial"/>
        </w:rPr>
      </w:pPr>
      <w:r w:rsidRPr="002D504F">
        <w:rPr>
          <w:rFonts w:ascii="Arial" w:hAnsi="Arial" w:cs="Arial"/>
        </w:rPr>
        <w:t>To assess inter-annotator consistency within the gender occupation bias evaluations, an Intra-Class Correlation Coefficient (</w:t>
      </w:r>
      <w:proofErr w:type="gramStart"/>
      <w:r w:rsidRPr="002D504F">
        <w:rPr>
          <w:rFonts w:ascii="Arial" w:hAnsi="Arial" w:cs="Arial"/>
        </w:rPr>
        <w:t>ICC(</w:t>
      </w:r>
      <w:proofErr w:type="gramEnd"/>
      <w:r w:rsidRPr="002D504F">
        <w:rPr>
          <w:rFonts w:ascii="Arial" w:hAnsi="Arial" w:cs="Arial"/>
        </w:rPr>
        <w:t xml:space="preserve">2,1)) analysis </w:t>
      </w:r>
      <w:proofErr w:type="gramStart"/>
      <w:r w:rsidRPr="002D504F">
        <w:rPr>
          <w:rFonts w:ascii="Arial" w:hAnsi="Arial" w:cs="Arial"/>
        </w:rPr>
        <w:t>was conducted</w:t>
      </w:r>
      <w:proofErr w:type="gramEnd"/>
      <w:r w:rsidRPr="002D504F">
        <w:rPr>
          <w:rFonts w:ascii="Arial" w:hAnsi="Arial" w:cs="Arial"/>
        </w:rPr>
        <w:t xml:space="preserve"> using a two-way random, absolute-agreement model. The resulting ICC value was 0.97, with a 95% confidence interval ranging from 0.955 to 0.982, indicating strong inter-rater reliability. According to conventional thresholds (Koo &amp; Li, 2016), this level of agreement reflects </w:t>
      </w:r>
      <w:r w:rsidRPr="002D504F">
        <w:rPr>
          <w:rFonts w:ascii="Arial" w:hAnsi="Arial" w:cs="Arial"/>
          <w:i/>
          <w:iCs/>
        </w:rPr>
        <w:t>excellent consistency</w:t>
      </w:r>
      <w:r w:rsidRPr="002D504F">
        <w:rPr>
          <w:rFonts w:ascii="Arial" w:hAnsi="Arial" w:cs="Arial"/>
        </w:rPr>
        <w:t xml:space="preserve"> among annotators, suggesting that observed rating variance primarily reflects true differences in stimulus bias rather than random or subjective discrepancies across raters.</w:t>
      </w:r>
    </w:p>
    <w:p w14:paraId="5C86B14F" w14:textId="77777777" w:rsidR="002D504F" w:rsidRPr="002D504F" w:rsidRDefault="002D504F" w:rsidP="002D504F">
      <w:pPr>
        <w:jc w:val="both"/>
        <w:rPr>
          <w:rFonts w:ascii="Arial" w:hAnsi="Arial" w:cs="Arial"/>
        </w:rPr>
      </w:pPr>
      <w:r w:rsidRPr="002D504F">
        <w:rPr>
          <w:rFonts w:ascii="Arial" w:hAnsi="Arial" w:cs="Arial"/>
        </w:rPr>
        <w:t xml:space="preserve">Complementary analyses using pairwise correlation matrices further support this conclusion. Most Pearson correlation coefficients between raters fell within the 0.6–0.8 range, demonstrating moderate to strong linear alignment in scoring patterns. </w:t>
      </w:r>
      <w:proofErr w:type="gramStart"/>
      <w:r w:rsidRPr="002D504F">
        <w:rPr>
          <w:rFonts w:ascii="Arial" w:hAnsi="Arial" w:cs="Arial"/>
        </w:rPr>
        <w:t>A small number of</w:t>
      </w:r>
      <w:proofErr w:type="gramEnd"/>
      <w:r w:rsidRPr="002D504F">
        <w:rPr>
          <w:rFonts w:ascii="Arial" w:hAnsi="Arial" w:cs="Arial"/>
        </w:rPr>
        <w:t xml:space="preserve"> lower or missing correlations </w:t>
      </w:r>
      <w:proofErr w:type="gramStart"/>
      <w:r w:rsidRPr="002D504F">
        <w:rPr>
          <w:rFonts w:ascii="Arial" w:hAnsi="Arial" w:cs="Arial"/>
        </w:rPr>
        <w:t>likely reflect</w:t>
      </w:r>
      <w:proofErr w:type="gramEnd"/>
      <w:r w:rsidRPr="002D504F">
        <w:rPr>
          <w:rFonts w:ascii="Arial" w:hAnsi="Arial" w:cs="Arial"/>
        </w:rPr>
        <w:t xml:space="preserve"> limited item overlap or occasional interpretive divergence but do not undermine the overall robustness of agreement.</w:t>
      </w:r>
    </w:p>
    <w:p w14:paraId="364D0A5A" w14:textId="77777777" w:rsidR="002D504F" w:rsidRPr="002D504F" w:rsidRDefault="002D504F" w:rsidP="002D504F">
      <w:pPr>
        <w:jc w:val="both"/>
        <w:rPr>
          <w:rFonts w:ascii="Arial" w:hAnsi="Arial" w:cs="Arial"/>
        </w:rPr>
      </w:pPr>
      <w:r w:rsidRPr="002D504F">
        <w:rPr>
          <w:rFonts w:ascii="Arial" w:hAnsi="Arial" w:cs="Arial"/>
        </w:rPr>
        <w:t xml:space="preserve">To examine ordinal consistency, Spearman’s rank (ρ) and Kendall’s tau (τ) correlations </w:t>
      </w:r>
      <w:proofErr w:type="gramStart"/>
      <w:r w:rsidRPr="002D504F">
        <w:rPr>
          <w:rFonts w:ascii="Arial" w:hAnsi="Arial" w:cs="Arial"/>
        </w:rPr>
        <w:t>were also computed</w:t>
      </w:r>
      <w:proofErr w:type="gramEnd"/>
      <w:r w:rsidRPr="002D504F">
        <w:rPr>
          <w:rFonts w:ascii="Arial" w:hAnsi="Arial" w:cs="Arial"/>
        </w:rPr>
        <w:t xml:space="preserve">. Both rank-based measures showed </w:t>
      </w:r>
      <w:proofErr w:type="gramStart"/>
      <w:r w:rsidRPr="002D504F">
        <w:rPr>
          <w:rFonts w:ascii="Arial" w:hAnsi="Arial" w:cs="Arial"/>
        </w:rPr>
        <w:t>generally high</w:t>
      </w:r>
      <w:proofErr w:type="gramEnd"/>
      <w:r w:rsidRPr="002D504F">
        <w:rPr>
          <w:rFonts w:ascii="Arial" w:hAnsi="Arial" w:cs="Arial"/>
        </w:rPr>
        <w:t xml:space="preserve"> correspondence (ρ ≈ 0.65–0.85, τ ≈ 0.55–0.78) across raters, indicating strong alignment in the </w:t>
      </w:r>
      <w:r w:rsidRPr="002D504F">
        <w:rPr>
          <w:rFonts w:ascii="Arial" w:hAnsi="Arial" w:cs="Arial"/>
          <w:i/>
          <w:iCs/>
        </w:rPr>
        <w:t>relative ordering</w:t>
      </w:r>
      <w:r w:rsidRPr="002D504F">
        <w:rPr>
          <w:rFonts w:ascii="Arial" w:hAnsi="Arial" w:cs="Arial"/>
        </w:rPr>
        <w:t xml:space="preserve"> of perceived bias severity. Together, these results confirm that raters exhibited highly similar evaluative patterns, both in absolute scores and in the relative ranking of biased responses.</w:t>
      </w:r>
    </w:p>
    <w:p w14:paraId="4492F2B1" w14:textId="77777777" w:rsidR="002D504F" w:rsidRPr="002D504F" w:rsidRDefault="002D504F" w:rsidP="002D504F">
      <w:pPr>
        <w:jc w:val="both"/>
        <w:rPr>
          <w:rFonts w:ascii="Arial" w:hAnsi="Arial" w:cs="Arial"/>
        </w:rPr>
      </w:pPr>
      <w:r w:rsidRPr="002D504F">
        <w:rPr>
          <w:rFonts w:ascii="Arial" w:hAnsi="Arial" w:cs="Arial"/>
        </w:rPr>
        <w:t>Overall, the gender occupation bias stream demonstrates excellent inter-annotator reliability, suggesting that the rubric was well-calibrated and consistently applied across raters.</w:t>
      </w:r>
    </w:p>
    <w:p w14:paraId="37F00107" w14:textId="77777777" w:rsidR="00302742" w:rsidRPr="002D504F" w:rsidRDefault="00302742" w:rsidP="002D504F">
      <w:pPr>
        <w:rPr>
          <w:rFonts w:ascii="Arial" w:hAnsi="Arial" w:cs="Arial"/>
        </w:rPr>
      </w:pPr>
    </w:p>
    <w:sectPr w:rsidR="00302742" w:rsidRPr="002D504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AD402D7"/>
    <w:multiLevelType w:val="multilevel"/>
    <w:tmpl w:val="46D0F6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263280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D504F"/>
    <w:rsid w:val="00262230"/>
    <w:rsid w:val="002D504F"/>
    <w:rsid w:val="00302742"/>
    <w:rsid w:val="008F05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59B2158"/>
  <w15:chartTrackingRefBased/>
  <w15:docId w15:val="{C095BC94-072D-4765-A101-5BFFBA70838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A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D504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D504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D504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D504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D504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D504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D504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D504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D504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D504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D504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D504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D504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D504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D504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D504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D504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D504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D504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D504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D504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D504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D504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D504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D504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D504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D504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D504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D504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263</Words>
  <Characters>1504</Characters>
  <Application>Microsoft Office Word</Application>
  <DocSecurity>0</DocSecurity>
  <Lines>12</Lines>
  <Paragraphs>3</Paragraphs>
  <ScaleCrop>false</ScaleCrop>
  <Company/>
  <LinksUpToDate>false</LinksUpToDate>
  <CharactersWithSpaces>1764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Tess Wilkinson</dc:creator>
  <cp:keywords/>
  <dc:description/>
  <cp:lastModifiedBy>Tess Wilkinson</cp:lastModifiedBy>
  <cp:revision>1</cp:revision>
  <dcterms:created xsi:type="dcterms:W3CDTF">2025-10-07T03:12:00Z</dcterms:created>
  <dcterms:modified xsi:type="dcterms:W3CDTF">2025-10-07T03:17:00Z</dcterms:modified>
</cp:coreProperties>
</file>