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Camina y Alimenta — Acercamiento a empresas (retailers y patrocinadores)</w:t>
      </w:r>
    </w:p>
    <w:p>
      <w:pPr>
        <w:spacing w:after="80"/>
      </w:pPr>
      <w:r>
        <w:rPr>
          <w:color w:val="5B6B82"/>
          <w:sz w:val="18"/>
          <w:szCs w:val="18"/>
        </w:rPr>
        <w:t xml:space="preserve">Borrador para Edgar Aguilar · reemplaza los campos entre [corchetes] antes de enviar.</w:t>
      </w:r>
    </w:p>
    <w:p>
      <w:pPr>
        <w:pBdr>
          <w:bottom w:val="single" w:color="1E9E77" w:sz="6" w:space="1"/>
        </w:pBdr>
        <w:spacing w:after="140"/>
      </w:pPr>
    </w:p>
    <w:p>
      <w:pPr>
        <w:pStyle w:val="Heading2"/>
      </w:pPr>
      <w:r>
        <w:t xml:space="preserve">1. Dos tipos de aliado (y qué gana cada uno)</w:t>
      </w:r>
    </w:p>
    <w:p>
      <w:pPr>
        <w:spacing w:after="120"/>
      </w:pPr>
      <w:r>
        <w:t xml:space="preserve">Patrocinador (marca que financia comidas): empresas de consumo, banca, telecom o energía que buscan responsabilidad social medible. Su inversión financia comidas que van directo a un banco de alimentos — tu plataforma nunca toca el dinero.</w:t>
      </w:r>
    </w:p>
    <w:p>
      <w:pPr>
        <w:spacing w:after="120"/>
      </w:pPr>
      <w:r>
        <w:t xml:space="preserve">Comercio / retailer (donde se redime el cupón): cadenas y tiendas donde el caminante canjea su cupón. Ganan tráfico y ventas incrementales. Varias grandes cadenas (p. ej. Éxito) pueden ser ambas cosas a la vez.</w:t>
      </w:r>
    </w:p>
    <w:p>
      <w:pPr>
        <w:pStyle w:val="Heading2"/>
      </w:pPr>
      <w:r>
        <w:t xml:space="preserve">2. ¿A quién y a dónde enviar la carta?</w:t>
      </w:r>
    </w:p>
    <w:p>
      <w:pPr>
        <w:spacing w:after="120"/>
      </w:pPr>
      <w:r>
        <w:t xml:space="preserve">No existe un buzón único; apunta al área correcta y busca a la persona en LinkedIn o en la web corporativa:</w:t>
      </w:r>
    </w:p>
    <w:p>
      <w:pPr>
        <w:pStyle w:val="ListParagraph"/>
        <w:numPr>
          <w:ilvl w:val="0"/>
          <w:numId w:val="2"/>
        </w:numPr>
        <w:spacing w:after="60"/>
      </w:pPr>
      <w:r>
        <w:rPr>
          <w:sz w:val="21"/>
          <w:szCs w:val="21"/>
        </w:rPr>
        <w:t xml:space="preserve">Sostenibilidad / Responsabilidad Social Corporativa (o la Fundación de la empresa) — el mejor punto de entrada para patrocinadores.</w:t>
      </w:r>
    </w:p>
    <w:p>
      <w:pPr>
        <w:pStyle w:val="ListParagraph"/>
        <w:numPr>
          <w:ilvl w:val="0"/>
          <w:numId w:val="2"/>
        </w:numPr>
        <w:spacing w:after="60"/>
      </w:pPr>
      <w:r>
        <w:rPr>
          <w:sz w:val="21"/>
          <w:szCs w:val="21"/>
        </w:rPr>
        <w:t xml:space="preserve">Mercadeo / Marca / Trade marketing — para el valor comercial y de fidelización.</w:t>
      </w:r>
    </w:p>
    <w:p>
      <w:pPr>
        <w:pStyle w:val="ListParagraph"/>
        <w:numPr>
          <w:ilvl w:val="0"/>
          <w:numId w:val="2"/>
        </w:numPr>
        <w:spacing w:after="60"/>
      </w:pPr>
      <w:r>
        <w:rPr>
          <w:sz w:val="21"/>
          <w:szCs w:val="21"/>
        </w:rPr>
        <w:t xml:space="preserve">Asuntos Corporativos / Innovación — cuando lo anterior no responde.</w:t>
      </w:r>
    </w:p>
    <w:p>
      <w:pPr>
        <w:spacing w:after="120"/>
      </w:pPr>
      <w:r>
        <w:rPr>
          <w:i/>
          <w:iCs/>
        </w:rPr>
        <w:t xml:space="preserve">Cómo encontrar el contacto: busca en LinkedIn “Director(a) de Sostenibilidad / Gerente de Mercadeo + [empresa]”, o entra a la web corporativa → sección Sostenibilidad / Contáctenos / Fundación. Envía un correo corto + esta carta, y haz seguimiento por LinkedIn.</w:t>
      </w:r>
    </w:p>
    <w:p>
      <w:pPr>
        <w:pStyle w:val="Heading2"/>
      </w:pPr>
      <w:r>
        <w:t xml:space="preserve">3. Lista de empresas objetivo</w:t>
      </w:r>
    </w:p>
    <w:p>
      <w:pPr>
        <w:spacing w:after="120"/>
      </w:pPr>
      <w:r>
        <w:rPr>
          <w:b/>
          <w:bCs/>
        </w:rPr>
        <w:t xml:space="preserve">Comercios / retailers (redención de cupones):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7DEE8" w:sz="1"/>
              <w:left w:val="single" w:color="D7DEE8" w:sz="1"/>
              <w:bottom w:val="single" w:color="D7DEE8" w:sz="1"/>
              <w:right w:val="single" w:color="D7DEE8" w:sz="1"/>
            </w:tcBorders>
            <w:shd w:fill="16243A" w:val="clear"/>
            <w:tcMar>
              <w:top w:type="dxa" w:w="70"/>
              <w:left w:type="dxa" w:w="110"/>
              <w:bottom w:type="dxa" w:w="70"/>
              <w:right w:type="dxa" w:w="110"/>
            </w:tcMar>
          </w:tcPr>
          <w:p>
            <w:pPr>
              <w:spacing w:after="30"/>
            </w:pPr>
            <w:r>
              <w:rPr>
                <w:b/>
                <w:bCs/>
                <w:color w:val="FFFFFF"/>
                <w:sz w:val="18"/>
                <w:szCs w:val="18"/>
              </w:rPr>
              <w:t xml:space="preserve">Empresa</w:t>
            </w:r>
          </w:p>
        </w:tc>
        <w:tc>
          <w:tcPr>
            <w:tcW w:type="dxa" w:w="6360"/>
            <w:tcBorders>
              <w:top w:val="single" w:color="D7DEE8" w:sz="1"/>
              <w:left w:val="single" w:color="D7DEE8" w:sz="1"/>
              <w:bottom w:val="single" w:color="D7DEE8" w:sz="1"/>
              <w:right w:val="single" w:color="D7DEE8" w:sz="1"/>
            </w:tcBorders>
            <w:shd w:fill="16243A" w:val="clear"/>
            <w:tcMar>
              <w:top w:type="dxa" w:w="70"/>
              <w:left w:type="dxa" w:w="110"/>
              <w:bottom w:type="dxa" w:w="70"/>
              <w:right w:type="dxa" w:w="110"/>
            </w:tcMar>
          </w:tcPr>
          <w:p>
            <w:pPr>
              <w:spacing w:after="30"/>
            </w:pPr>
            <w:r>
              <w:rPr>
                <w:color w:val="FFFFFF"/>
                <w:sz w:val="18"/>
                <w:szCs w:val="18"/>
              </w:rPr>
              <w:t xml:space="preserve">Marcas / notas</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Grupo Éxito</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Éxito, Carulla, Surtimax, Superinter — fue fundador/aliado de ABACO (excelente intro).</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Tiendas D1</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Mayor red de tiendas de descuento; alto tráfico.</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Ara</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Jerónimo Martins; descuento, crecimiento rápido.</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Olímpica</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SAO y Supertiendas Olímpica; fuerte en Caribe.</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Cencosud</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Jumbo, Metro.</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Alkosto / Ktronix</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Hipermercado y electro.</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PriceSmart / Makro</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Mayoristas tipo club.</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Farmacias</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Cruz Verde, Farmatodo, La Rebaja, Locatel — encajan con bienestar.</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Café / comida</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Juan Valdez, Tostao', Frisby, Crepes &amp; Waffles.</w:t>
            </w:r>
          </w:p>
        </w:tc>
      </w:tr>
    </w:tbl>
    <w:p>
      <w:pPr>
        <w:spacing w:after="120"/>
      </w:pPr>
      <w:r>
        <w:rPr>
          <w:b/>
          <w:bCs/>
        </w:rPr>
        <w:t xml:space="preserve">Patrocinadores / marcas (financian comidas — alineadas con nutrición y CSR):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7DEE8" w:sz="1"/>
              <w:left w:val="single" w:color="D7DEE8" w:sz="1"/>
              <w:bottom w:val="single" w:color="D7DEE8" w:sz="1"/>
              <w:right w:val="single" w:color="D7DEE8" w:sz="1"/>
            </w:tcBorders>
            <w:shd w:fill="16243A" w:val="clear"/>
            <w:tcMar>
              <w:top w:type="dxa" w:w="70"/>
              <w:left w:type="dxa" w:w="110"/>
              <w:bottom w:type="dxa" w:w="70"/>
              <w:right w:type="dxa" w:w="110"/>
            </w:tcMar>
          </w:tcPr>
          <w:p>
            <w:pPr>
              <w:spacing w:after="30"/>
            </w:pPr>
            <w:r>
              <w:rPr>
                <w:b/>
                <w:bCs/>
                <w:color w:val="FFFFFF"/>
                <w:sz w:val="18"/>
                <w:szCs w:val="18"/>
              </w:rPr>
              <w:t xml:space="preserve">Sector</w:t>
            </w:r>
          </w:p>
        </w:tc>
        <w:tc>
          <w:tcPr>
            <w:tcW w:type="dxa" w:w="6360"/>
            <w:tcBorders>
              <w:top w:val="single" w:color="D7DEE8" w:sz="1"/>
              <w:left w:val="single" w:color="D7DEE8" w:sz="1"/>
              <w:bottom w:val="single" w:color="D7DEE8" w:sz="1"/>
              <w:right w:val="single" w:color="D7DEE8" w:sz="1"/>
            </w:tcBorders>
            <w:shd w:fill="16243A" w:val="clear"/>
            <w:tcMar>
              <w:top w:type="dxa" w:w="70"/>
              <w:left w:type="dxa" w:w="110"/>
              <w:bottom w:type="dxa" w:w="70"/>
              <w:right w:type="dxa" w:w="110"/>
            </w:tcMar>
          </w:tcPr>
          <w:p>
            <w:pPr>
              <w:spacing w:after="30"/>
            </w:pPr>
            <w:r>
              <w:rPr>
                <w:color w:val="FFFFFF"/>
                <w:sz w:val="18"/>
                <w:szCs w:val="18"/>
              </w:rPr>
              <w:t xml:space="preserve">Empresas</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Alimentos y bebidas</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Grupo Nutresa, Alquería, Alpina, Postobón, Colombina, Quala, Nestlé Colombia, Unilever Colombia, Bimbo, Team Foods, Coca-Cola FEMSA, Bavaria/AB InBev.</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Banca y seguros</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Bancolombia, Davivienda, Banco de Bogotá, Grupo Bolívar, BBVA Colombia.</w:t>
            </w:r>
          </w:p>
        </w:tc>
      </w:tr>
      <w:tr>
        <w:tc>
          <w:tcPr>
            <w:tcW w:type="dxa" w:w="30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b/>
                <w:bCs/>
                <w:color w:val="16243A"/>
                <w:sz w:val="18"/>
                <w:szCs w:val="18"/>
              </w:rPr>
              <w:t xml:space="preserve">Telecom / energía</w:t>
            </w:r>
          </w:p>
        </w:tc>
        <w:tc>
          <w:tcPr>
            <w:tcW w:type="dxa" w:w="63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tcPr>
          <w:p>
            <w:pPr>
              <w:spacing w:after="30"/>
            </w:pPr>
            <w:r>
              <w:rPr>
                <w:sz w:val="18"/>
                <w:szCs w:val="18"/>
              </w:rPr>
              <w:t xml:space="preserve">Claro, Tigo, EPM, Ecopetrol, Celsia (vía sus fundaciones).</w:t>
            </w:r>
          </w:p>
        </w:tc>
      </w:tr>
    </w:tbl>
    <w:p>
      <w:pPr>
        <w:spacing w:after="80"/>
      </w:pPr>
      <w:r>
        <w:rPr>
          <w:color w:val="5B6B82"/>
          <w:sz w:val="18"/>
          <w:szCs w:val="18"/>
        </w:rPr>
        <w:t xml:space="preserve">Nota: Éxito, Nutresa, Alquería y Unilever ya han apoyado a ABACO — úsalo como puente de confianza al acercarte.</w:t>
      </w:r>
    </w:p>
    <w:p>
      <w:r>
        <w:br w:type="page"/>
      </w:r>
    </w:p>
    <w:p>
      <w:pPr>
        <w:pStyle w:val="Heading2"/>
      </w:pPr>
      <w:r>
        <w:t xml:space="preserve">4. Carta de presentación (lista para copiar)</w:t>
      </w:r>
    </w:p>
    <w:p>
      <w:pPr>
        <w:spacing w:after="120"/>
      </w:pPr>
      <w:r>
        <w:rPr>
          <w:b/>
          <w:bCs/>
        </w:rPr>
        <w:t xml:space="preserve">Asunto: Camina y Alimenta — impacto social con valor comercial para [empresa]</w:t>
      </w:r>
    </w:p>
    <w:p>
      <w:pPr>
        <w:spacing w:after="120"/>
      </w:pPr>
      <w:r>
        <w:t xml:space="preserve">Estimado/a [nombre], [cargo] — [empresa]:</w:t>
      </w:r>
    </w:p>
    <w:p>
      <w:pPr>
        <w:spacing w:after="120"/>
      </w:pPr>
      <w:r>
        <w:t xml:space="preserve">Soy Edgar Aguilar, fundador de Camina y Alimenta, una plataforma colombiana que convierte la actividad física de las personas en comidas para niños. Cuando alguien cumple su meta de pasos (verificada por GPS), una empresa patrocinadora financia una comida que se entrega a través de un banco de alimentos aliado. Tus pasos, su superpoder.</w:t>
      </w:r>
    </w:p>
    <w:p>
      <w:pPr>
        <w:spacing w:after="120"/>
      </w:pPr>
      <w:r>
        <w:t xml:space="preserve">Cómo funciona, en tres pasos: 1) la persona camina y cumple su meta; 2) una empresa dona una comida; 3) la persona recibe un cupón para canjear en un comercio aliado. Todo es medible y trazable, y el dinero de la donación va directo al banco de alimentos.</w:t>
      </w:r>
    </w:p>
    <w:p>
      <w:pPr>
        <w:spacing w:after="120"/>
      </w:pPr>
      <w:r>
        <w:rPr>
          <w:b/>
          <w:bCs/>
        </w:rPr>
        <w:t xml:space="preserve">El valor para [empresa]:</w:t>
      </w:r>
    </w:p>
    <w:p>
      <w:pPr>
        <w:pStyle w:val="ListParagraph"/>
        <w:numPr>
          <w:ilvl w:val="0"/>
          <w:numId w:val="2"/>
        </w:numPr>
        <w:spacing w:after="60"/>
      </w:pPr>
      <w:r>
        <w:rPr>
          <w:sz w:val="21"/>
          <w:szCs w:val="21"/>
        </w:rPr>
        <w:t xml:space="preserve">Si eres una marca patrocinadora: responsabilidad social medible (comidas donadas, trazables), posible beneficio tributario por donación, conexión emocional con tu marca, y datos de demanda real (qué productos pide la gente).</w:t>
      </w:r>
    </w:p>
    <w:p>
      <w:pPr>
        <w:pStyle w:val="ListParagraph"/>
        <w:numPr>
          <w:ilvl w:val="0"/>
          <w:numId w:val="2"/>
        </w:numPr>
        <w:spacing w:after="60"/>
      </w:pPr>
      <w:r>
        <w:rPr>
          <w:sz w:val="21"/>
          <w:szCs w:val="21"/>
        </w:rPr>
        <w:t xml:space="preserve">Si eres un comercio: tráfico nuevo y ventas incrementales (el cupón se redime en tu caja), clientes nuevos, datos de redención, y un halo de marca por una causa de nutrición infantil.</w:t>
      </w:r>
    </w:p>
    <w:p>
      <w:pPr>
        <w:spacing w:after="120"/>
      </w:pPr>
      <w:r>
        <w:t xml:space="preserve">Te propongo una conversación de 20–30 minutos para mostrarte la plataforma en vivo y diseñar un piloto sin riesgo para [empresa]. ¿Tienes disponibilidad esta semana o la próxima?</w:t>
      </w:r>
    </w:p>
    <w:p>
      <w:pPr>
        <w:spacing w:after="120"/>
      </w:pPr>
      <w:r>
        <w:t xml:space="preserve">Gracias por tu tiempo. Cordialmente,</w:t>
      </w:r>
    </w:p>
    <w:p>
      <w:pPr>
        <w:spacing w:after="120"/>
      </w:pPr>
      <w:r>
        <w:t xml:space="preserve">[Edgar Aguilar] — Camina y Alimenta</w:t>
      </w:r>
    </w:p>
    <w:p>
      <w:pPr>
        <w:spacing w:after="120"/>
      </w:pPr>
      <w:r>
        <w:t xml:space="preserve">[teléfono] · edgarbluegroup@gmail.com · [sitio web]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120"/>
      <w:outlineLvl w:val="0"/>
    </w:pPr>
    <w:rPr>
      <w:rFonts w:ascii="Arial" w:cs="Arial" w:eastAsia="Arial" w:hAnsi="Arial"/>
      <w:b/>
      <w:bCs/>
      <w:color w:val="16243A"/>
      <w:sz w:val="30"/>
      <w:szCs w:val="30"/>
    </w:rPr>
  </w:style>
  <w:style w:type="paragraph" w:styleId="Heading2">
    <w:name w:val="Heading 2"/>
    <w:basedOn w:val="Normal"/>
    <w:next w:val="Normal"/>
    <w:qFormat/>
    <w:pPr>
      <w:spacing w:after="90" w:before="200"/>
      <w:outlineLvl w:val="1"/>
    </w:pPr>
    <w:rPr>
      <w:rFonts w:ascii="Arial" w:cs="Arial" w:eastAsia="Arial" w:hAnsi="Arial"/>
      <w:b/>
      <w:bCs/>
      <w:color w:val="1E9E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2026-06-15T18:14:26.010Z</dcterms:created>
  <dcterms:modified xsi:type="dcterms:W3CDTF">2026-06-15T18:14:26.010Z</dcterms:modified>
</cp:coreProperties>
</file>

<file path=docProps/custom.xml><?xml version="1.0" encoding="utf-8"?>
<Properties xmlns="http://schemas.openxmlformats.org/officeDocument/2006/custom-properties" xmlns:vt="http://schemas.openxmlformats.org/officeDocument/2006/docPropsVTypes"/>
</file>